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A70B1" w14:textId="77777777" w:rsidR="00166062" w:rsidRDefault="00166062" w:rsidP="005644FA">
      <w:pPr>
        <w:jc w:val="center"/>
        <w:rPr>
          <w:b/>
          <w:iCs/>
          <w:sz w:val="26"/>
          <w:szCs w:val="26"/>
        </w:rPr>
      </w:pPr>
    </w:p>
    <w:p w14:paraId="1D7E091C" w14:textId="77777777" w:rsidR="005644FA" w:rsidRDefault="005644FA" w:rsidP="00DA0909">
      <w:pPr>
        <w:pStyle w:val="NormalWeb"/>
        <w:spacing w:before="0" w:beforeAutospacing="0" w:after="0" w:afterAutospacing="0"/>
        <w:rPr>
          <w:b/>
          <w:bCs/>
          <w:sz w:val="22"/>
          <w:szCs w:val="22"/>
        </w:rPr>
      </w:pPr>
    </w:p>
    <w:p w14:paraId="57F7C576" w14:textId="6AA42BAC" w:rsidR="005644FA" w:rsidRPr="002837A0" w:rsidRDefault="00D063FF" w:rsidP="005644FA">
      <w:pPr>
        <w:pStyle w:val="NormalWeb"/>
        <w:jc w:val="center"/>
        <w:rPr>
          <w:b/>
          <w:bCs/>
          <w:sz w:val="22"/>
          <w:szCs w:val="22"/>
        </w:rPr>
      </w:pPr>
      <w:r w:rsidRPr="002837A0">
        <w:rPr>
          <w:b/>
          <w:bCs/>
          <w:sz w:val="22"/>
          <w:szCs w:val="22"/>
        </w:rPr>
        <w:t>West Africa P</w:t>
      </w:r>
      <w:r w:rsidR="00C842D3" w:rsidRPr="002837A0">
        <w:rPr>
          <w:b/>
          <w:bCs/>
          <w:sz w:val="22"/>
          <w:szCs w:val="22"/>
        </w:rPr>
        <w:t>RO-Cashew Project</w:t>
      </w:r>
    </w:p>
    <w:p w14:paraId="575F125D" w14:textId="389397F2" w:rsidR="005644FA" w:rsidRPr="002837A0" w:rsidRDefault="00544171" w:rsidP="005644FA">
      <w:pPr>
        <w:pStyle w:val="NormalWeb"/>
        <w:jc w:val="center"/>
        <w:rPr>
          <w:b/>
          <w:bCs/>
          <w:sz w:val="22"/>
          <w:szCs w:val="22"/>
        </w:rPr>
      </w:pPr>
      <w:r w:rsidRPr="002837A0">
        <w:rPr>
          <w:b/>
          <w:bCs/>
          <w:sz w:val="22"/>
          <w:szCs w:val="22"/>
        </w:rPr>
        <w:t xml:space="preserve">APPEL </w:t>
      </w:r>
      <w:r w:rsidR="001C6215">
        <w:rPr>
          <w:b/>
          <w:bCs/>
          <w:sz w:val="22"/>
          <w:szCs w:val="22"/>
        </w:rPr>
        <w:t>A CANDIDATURE</w:t>
      </w:r>
      <w:r w:rsidR="00A85F4F">
        <w:rPr>
          <w:b/>
          <w:bCs/>
          <w:sz w:val="22"/>
          <w:szCs w:val="22"/>
        </w:rPr>
        <w:t>S</w:t>
      </w:r>
      <w:r w:rsidR="005644FA" w:rsidRPr="002837A0">
        <w:rPr>
          <w:b/>
          <w:bCs/>
          <w:sz w:val="22"/>
          <w:szCs w:val="22"/>
        </w:rPr>
        <w:t xml:space="preserve"> (</w:t>
      </w:r>
      <w:r w:rsidR="001C6215">
        <w:rPr>
          <w:b/>
          <w:bCs/>
          <w:sz w:val="22"/>
          <w:szCs w:val="22"/>
        </w:rPr>
        <w:t>AC</w:t>
      </w:r>
      <w:r w:rsidR="005644FA" w:rsidRPr="002837A0">
        <w:rPr>
          <w:b/>
          <w:bCs/>
          <w:sz w:val="22"/>
          <w:szCs w:val="22"/>
        </w:rPr>
        <w:t>) NO.1</w:t>
      </w:r>
    </w:p>
    <w:p w14:paraId="75505319" w14:textId="008F6EE5" w:rsidR="005644FA" w:rsidRPr="002837A0" w:rsidRDefault="005644FA" w:rsidP="005644FA">
      <w:pPr>
        <w:pStyle w:val="NormalWeb"/>
        <w:jc w:val="center"/>
        <w:rPr>
          <w:b/>
          <w:bCs/>
          <w:sz w:val="22"/>
          <w:szCs w:val="22"/>
          <w:lang w:val="fr-FR"/>
        </w:rPr>
      </w:pPr>
      <w:r w:rsidRPr="002837A0">
        <w:rPr>
          <w:b/>
          <w:bCs/>
          <w:sz w:val="22"/>
          <w:szCs w:val="22"/>
          <w:lang w:val="fr-FR"/>
        </w:rPr>
        <w:t>SUBVENTIONS DE VULGARISATION AGRICOLE</w:t>
      </w:r>
    </w:p>
    <w:p w14:paraId="2590D3B4" w14:textId="77777777" w:rsidR="005644FA" w:rsidRPr="002837A0" w:rsidRDefault="005644FA" w:rsidP="005644FA">
      <w:pPr>
        <w:pStyle w:val="NormalWeb"/>
        <w:rPr>
          <w:b/>
          <w:bCs/>
          <w:sz w:val="22"/>
          <w:szCs w:val="22"/>
          <w:lang w:val="fr-FR"/>
        </w:rPr>
      </w:pPr>
    </w:p>
    <w:p w14:paraId="5BF40BD0" w14:textId="77777777" w:rsidR="005644FA" w:rsidRPr="002837A0" w:rsidRDefault="005644FA" w:rsidP="005644FA">
      <w:pPr>
        <w:pStyle w:val="NormalWeb"/>
        <w:rPr>
          <w:b/>
          <w:bCs/>
          <w:sz w:val="22"/>
          <w:szCs w:val="22"/>
          <w:lang w:val="fr-FR"/>
        </w:rPr>
      </w:pPr>
      <w:r w:rsidRPr="002837A0">
        <w:rPr>
          <w:b/>
          <w:bCs/>
          <w:sz w:val="22"/>
          <w:szCs w:val="22"/>
          <w:lang w:val="fr-FR"/>
        </w:rPr>
        <w:t>Date d'émission: 8 juillet 2020</w:t>
      </w:r>
    </w:p>
    <w:p w14:paraId="37E08C2D" w14:textId="0A891181" w:rsidR="005644FA" w:rsidRPr="002837A0" w:rsidRDefault="005644FA" w:rsidP="005644FA">
      <w:pPr>
        <w:pStyle w:val="NormalWeb"/>
        <w:rPr>
          <w:b/>
          <w:bCs/>
          <w:sz w:val="22"/>
          <w:szCs w:val="22"/>
          <w:lang w:val="fr-FR"/>
        </w:rPr>
      </w:pPr>
      <w:r w:rsidRPr="002837A0">
        <w:rPr>
          <w:b/>
          <w:bCs/>
          <w:sz w:val="22"/>
          <w:szCs w:val="22"/>
          <w:lang w:val="fr-FR"/>
        </w:rPr>
        <w:t>Date Limite pour les Questions: 17 juillet 2020, 17h GMT</w:t>
      </w:r>
    </w:p>
    <w:p w14:paraId="07304BFF" w14:textId="7FAB52A4" w:rsidR="005644FA" w:rsidRPr="002837A0" w:rsidRDefault="005644FA" w:rsidP="005644FA">
      <w:pPr>
        <w:pStyle w:val="NormalWeb"/>
        <w:spacing w:before="0" w:beforeAutospacing="0" w:after="0" w:afterAutospacing="0"/>
        <w:rPr>
          <w:b/>
          <w:bCs/>
          <w:sz w:val="22"/>
          <w:szCs w:val="22"/>
          <w:lang w:val="fr-FR"/>
        </w:rPr>
      </w:pPr>
      <w:r w:rsidRPr="002837A0">
        <w:rPr>
          <w:b/>
          <w:bCs/>
          <w:sz w:val="22"/>
          <w:szCs w:val="22"/>
          <w:lang w:val="fr-FR"/>
        </w:rPr>
        <w:t>Date Limite de Soumission: 31 juillet 2020, 17h GMT</w:t>
      </w:r>
    </w:p>
    <w:p w14:paraId="2FA33E4C" w14:textId="77777777" w:rsidR="00DA0909" w:rsidRPr="002837A0" w:rsidRDefault="00DA0909" w:rsidP="00EB4497">
      <w:pPr>
        <w:jc w:val="both"/>
        <w:rPr>
          <w:sz w:val="22"/>
          <w:szCs w:val="22"/>
          <w:lang w:val="fr-FR"/>
        </w:rPr>
      </w:pPr>
    </w:p>
    <w:p w14:paraId="107462B2" w14:textId="7A5394B2" w:rsidR="005644FA" w:rsidRPr="002837A0" w:rsidRDefault="005644FA" w:rsidP="005644FA">
      <w:pPr>
        <w:suppressAutoHyphens w:val="0"/>
        <w:spacing w:before="100" w:beforeAutospacing="1" w:after="100" w:afterAutospacing="1"/>
        <w:rPr>
          <w:sz w:val="22"/>
          <w:szCs w:val="22"/>
          <w:lang w:val="fr-FR"/>
        </w:rPr>
      </w:pPr>
      <w:r w:rsidRPr="002837A0">
        <w:rPr>
          <w:sz w:val="22"/>
          <w:szCs w:val="22"/>
          <w:lang w:val="fr-FR"/>
        </w:rPr>
        <w:t>Cher Candidat:</w:t>
      </w:r>
    </w:p>
    <w:p w14:paraId="5BFB0EAB" w14:textId="3CD929D7" w:rsidR="005644FA" w:rsidRPr="002837A0" w:rsidRDefault="00544171" w:rsidP="005644FA">
      <w:pPr>
        <w:suppressAutoHyphens w:val="0"/>
        <w:spacing w:before="100" w:beforeAutospacing="1" w:after="100" w:afterAutospacing="1"/>
        <w:rPr>
          <w:sz w:val="22"/>
          <w:szCs w:val="22"/>
          <w:lang w:val="fr-FR"/>
        </w:rPr>
      </w:pPr>
      <w:r w:rsidRPr="002837A0">
        <w:rPr>
          <w:sz w:val="22"/>
          <w:szCs w:val="22"/>
          <w:lang w:val="fr-FR"/>
        </w:rPr>
        <w:t xml:space="preserve">Le projet PRO-Cashew publie un </w:t>
      </w:r>
      <w:r w:rsidR="002B09F7">
        <w:rPr>
          <w:sz w:val="22"/>
          <w:szCs w:val="22"/>
          <w:lang w:val="fr-FR"/>
        </w:rPr>
        <w:t>Appel à Candidature</w:t>
      </w:r>
      <w:r w:rsidR="00A85F4F">
        <w:rPr>
          <w:sz w:val="22"/>
          <w:szCs w:val="22"/>
          <w:lang w:val="fr-FR"/>
        </w:rPr>
        <w:t>s</w:t>
      </w:r>
      <w:r w:rsidR="002B09F7">
        <w:rPr>
          <w:sz w:val="22"/>
          <w:szCs w:val="22"/>
          <w:lang w:val="fr-FR"/>
        </w:rPr>
        <w:t xml:space="preserve"> (AC)</w:t>
      </w:r>
      <w:r w:rsidR="005644FA" w:rsidRPr="002837A0">
        <w:rPr>
          <w:sz w:val="22"/>
          <w:szCs w:val="22"/>
          <w:lang w:val="fr-FR"/>
        </w:rPr>
        <w:t xml:space="preserve"> pour attribuer des subventions en appui à ses activités. Les instructions pour remplir la demande se trouvent à l'annexe A. Les subventions seront attribuées et mises en œuvre conformément aux réglementations du gouvernement Américain et de l'USDA régissant les subventions et les politiques internes de gestion des subventions de PRO-Cashew.</w:t>
      </w:r>
    </w:p>
    <w:p w14:paraId="19488887" w14:textId="49206CBB" w:rsidR="003178DC" w:rsidRPr="002837A0" w:rsidRDefault="0025402E" w:rsidP="00DA0909">
      <w:pPr>
        <w:suppressAutoHyphens w:val="0"/>
        <w:spacing w:before="100" w:beforeAutospacing="1" w:after="100" w:afterAutospacing="1"/>
        <w:rPr>
          <w:sz w:val="22"/>
          <w:szCs w:val="22"/>
          <w:lang w:val="fr-FR"/>
        </w:rPr>
      </w:pPr>
      <w:r w:rsidRPr="002837A0">
        <w:rPr>
          <w:sz w:val="22"/>
          <w:szCs w:val="22"/>
          <w:lang w:val="fr-FR"/>
        </w:rPr>
        <w:t xml:space="preserve">Ce premier </w:t>
      </w:r>
      <w:r w:rsidR="002B09F7">
        <w:rPr>
          <w:sz w:val="22"/>
          <w:szCs w:val="22"/>
          <w:lang w:val="fr-FR"/>
        </w:rPr>
        <w:t>Appel à Candidature</w:t>
      </w:r>
      <w:r w:rsidR="00A85F4F">
        <w:rPr>
          <w:sz w:val="22"/>
          <w:szCs w:val="22"/>
          <w:lang w:val="fr-FR"/>
        </w:rPr>
        <w:t>s</w:t>
      </w:r>
      <w:r w:rsidR="002B09F7">
        <w:rPr>
          <w:sz w:val="22"/>
          <w:szCs w:val="22"/>
          <w:lang w:val="fr-FR"/>
        </w:rPr>
        <w:t xml:space="preserve"> </w:t>
      </w:r>
      <w:r w:rsidR="00BE665A" w:rsidRPr="002837A0">
        <w:rPr>
          <w:sz w:val="22"/>
          <w:szCs w:val="22"/>
          <w:lang w:val="fr-FR"/>
        </w:rPr>
        <w:t xml:space="preserve">fournira des </w:t>
      </w:r>
      <w:r w:rsidR="00BE665A" w:rsidRPr="002837A0">
        <w:rPr>
          <w:b/>
          <w:sz w:val="22"/>
          <w:szCs w:val="22"/>
          <w:lang w:val="fr-FR"/>
        </w:rPr>
        <w:t>Subventions de Vulgarisation A</w:t>
      </w:r>
      <w:r w:rsidRPr="002837A0">
        <w:rPr>
          <w:b/>
          <w:sz w:val="22"/>
          <w:szCs w:val="22"/>
          <w:lang w:val="fr-FR"/>
        </w:rPr>
        <w:t>gricole</w:t>
      </w:r>
      <w:r w:rsidRPr="002837A0">
        <w:rPr>
          <w:sz w:val="22"/>
          <w:szCs w:val="22"/>
          <w:lang w:val="fr-FR"/>
        </w:rPr>
        <w:t xml:space="preserve"> </w:t>
      </w:r>
      <w:r w:rsidR="00B31E2E">
        <w:rPr>
          <w:sz w:val="22"/>
          <w:szCs w:val="22"/>
          <w:lang w:val="fr-FR"/>
        </w:rPr>
        <w:t>afin d’</w:t>
      </w:r>
      <w:r w:rsidR="00544171" w:rsidRPr="002837A0">
        <w:rPr>
          <w:sz w:val="22"/>
          <w:szCs w:val="22"/>
          <w:lang w:val="fr-FR"/>
        </w:rPr>
        <w:t>optimiser</w:t>
      </w:r>
      <w:r w:rsidRPr="002837A0">
        <w:rPr>
          <w:sz w:val="22"/>
          <w:szCs w:val="22"/>
          <w:lang w:val="fr-FR"/>
        </w:rPr>
        <w:t xml:space="preserve"> la formation technique </w:t>
      </w:r>
      <w:r w:rsidR="00B31E2E">
        <w:rPr>
          <w:sz w:val="22"/>
          <w:szCs w:val="22"/>
          <w:lang w:val="fr-FR"/>
        </w:rPr>
        <w:t xml:space="preserve">par le renforcement des capacités </w:t>
      </w:r>
      <w:r w:rsidRPr="002837A0">
        <w:rPr>
          <w:sz w:val="22"/>
          <w:szCs w:val="22"/>
          <w:lang w:val="fr-FR"/>
        </w:rPr>
        <w:t xml:space="preserve">renforcer des équipes de vulgarisation des entreprises de transformation de la noix de cajou </w:t>
      </w:r>
      <w:r w:rsidR="00B31E2E">
        <w:rPr>
          <w:sz w:val="22"/>
          <w:szCs w:val="22"/>
          <w:lang w:val="fr-FR"/>
        </w:rPr>
        <w:t xml:space="preserve">et aussi </w:t>
      </w:r>
      <w:r w:rsidRPr="002837A0">
        <w:rPr>
          <w:sz w:val="22"/>
          <w:szCs w:val="22"/>
          <w:lang w:val="fr-FR"/>
        </w:rPr>
        <w:t>renforcer les liens avec les petits exploitants agricoles. Le ou les bénéficiaires sélectionnés</w:t>
      </w:r>
      <w:r w:rsidR="00B31E2E">
        <w:rPr>
          <w:sz w:val="22"/>
          <w:szCs w:val="22"/>
          <w:lang w:val="fr-FR"/>
        </w:rPr>
        <w:t>,</w:t>
      </w:r>
      <w:r w:rsidRPr="002837A0">
        <w:rPr>
          <w:sz w:val="22"/>
          <w:szCs w:val="22"/>
          <w:lang w:val="fr-FR"/>
        </w:rPr>
        <w:t xml:space="preserve"> </w:t>
      </w:r>
      <w:r w:rsidR="00B31E2E">
        <w:rPr>
          <w:sz w:val="22"/>
          <w:szCs w:val="22"/>
          <w:lang w:val="fr-FR"/>
        </w:rPr>
        <w:t xml:space="preserve">recruteront </w:t>
      </w:r>
      <w:r w:rsidRPr="002837A0">
        <w:rPr>
          <w:sz w:val="22"/>
          <w:szCs w:val="22"/>
          <w:lang w:val="fr-FR"/>
        </w:rPr>
        <w:t xml:space="preserve">ou étendront leur équipe </w:t>
      </w:r>
      <w:r w:rsidR="0059232A" w:rsidRPr="002837A0">
        <w:rPr>
          <w:sz w:val="22"/>
          <w:szCs w:val="22"/>
          <w:lang w:val="fr-FR"/>
        </w:rPr>
        <w:t>de vulgarisation</w:t>
      </w:r>
      <w:r w:rsidRPr="002837A0">
        <w:rPr>
          <w:sz w:val="22"/>
          <w:szCs w:val="22"/>
          <w:lang w:val="fr-FR"/>
        </w:rPr>
        <w:t xml:space="preserve"> / </w:t>
      </w:r>
      <w:r w:rsidR="0059232A" w:rsidRPr="002837A0">
        <w:rPr>
          <w:sz w:val="22"/>
          <w:szCs w:val="22"/>
          <w:lang w:val="fr-FR"/>
        </w:rPr>
        <w:t>terrains</w:t>
      </w:r>
      <w:r w:rsidRPr="002837A0">
        <w:rPr>
          <w:sz w:val="22"/>
          <w:szCs w:val="22"/>
          <w:lang w:val="fr-FR"/>
        </w:rPr>
        <w:t xml:space="preserve"> / agents / collect</w:t>
      </w:r>
      <w:r w:rsidR="0059232A" w:rsidRPr="002837A0">
        <w:rPr>
          <w:sz w:val="22"/>
          <w:szCs w:val="22"/>
          <w:lang w:val="fr-FR"/>
        </w:rPr>
        <w:t>e</w:t>
      </w:r>
      <w:r w:rsidRPr="002837A0">
        <w:rPr>
          <w:sz w:val="22"/>
          <w:szCs w:val="22"/>
          <w:lang w:val="fr-FR"/>
        </w:rPr>
        <w:t xml:space="preserve"> </w:t>
      </w:r>
      <w:r w:rsidR="00B31E2E">
        <w:rPr>
          <w:sz w:val="22"/>
          <w:szCs w:val="22"/>
          <w:lang w:val="fr-FR"/>
        </w:rPr>
        <w:t>afin de</w:t>
      </w:r>
      <w:r w:rsidRPr="002837A0">
        <w:rPr>
          <w:sz w:val="22"/>
          <w:szCs w:val="22"/>
          <w:lang w:val="fr-FR"/>
        </w:rPr>
        <w:t xml:space="preserve"> former les agriculteurs aux bonnes pratiques agricoles (BPA), à la rénovation et à la réhabilitation (R&amp;R), aux techniques de récolte et post-récolte et aux concepts de </w:t>
      </w:r>
      <w:r w:rsidR="0059232A" w:rsidRPr="002837A0">
        <w:rPr>
          <w:sz w:val="22"/>
          <w:szCs w:val="22"/>
          <w:lang w:val="fr-FR"/>
        </w:rPr>
        <w:t xml:space="preserve">gestion. </w:t>
      </w:r>
      <w:r w:rsidRPr="002837A0">
        <w:rPr>
          <w:sz w:val="22"/>
          <w:szCs w:val="22"/>
          <w:lang w:val="fr-FR"/>
        </w:rPr>
        <w:t xml:space="preserve">Au moment de la récolte, ces agents joueront le rôle de </w:t>
      </w:r>
      <w:r w:rsidR="00B31E2E">
        <w:rPr>
          <w:sz w:val="22"/>
          <w:szCs w:val="22"/>
          <w:lang w:val="fr-FR"/>
        </w:rPr>
        <w:t xml:space="preserve">collecteurs </w:t>
      </w:r>
      <w:r w:rsidRPr="002837A0">
        <w:rPr>
          <w:sz w:val="22"/>
          <w:szCs w:val="22"/>
          <w:lang w:val="fr-FR"/>
        </w:rPr>
        <w:t>des noix de cajou brutes (</w:t>
      </w:r>
      <w:r w:rsidR="00863922">
        <w:rPr>
          <w:sz w:val="22"/>
          <w:szCs w:val="22"/>
          <w:lang w:val="fr-FR"/>
        </w:rPr>
        <w:t>NCB</w:t>
      </w:r>
      <w:r w:rsidR="00B31E2E">
        <w:rPr>
          <w:sz w:val="22"/>
          <w:szCs w:val="22"/>
          <w:lang w:val="fr-FR"/>
        </w:rPr>
        <w:t>)</w:t>
      </w:r>
      <w:r w:rsidRPr="002837A0">
        <w:rPr>
          <w:sz w:val="22"/>
          <w:szCs w:val="22"/>
          <w:lang w:val="fr-FR"/>
        </w:rPr>
        <w:t xml:space="preserve">) pour </w:t>
      </w:r>
      <w:r w:rsidR="00B31E2E">
        <w:rPr>
          <w:sz w:val="22"/>
          <w:szCs w:val="22"/>
          <w:lang w:val="fr-FR"/>
        </w:rPr>
        <w:t>le compte des</w:t>
      </w:r>
      <w:r w:rsidRPr="002837A0">
        <w:rPr>
          <w:sz w:val="22"/>
          <w:szCs w:val="22"/>
          <w:lang w:val="fr-FR"/>
        </w:rPr>
        <w:t xml:space="preserve"> entreprises de transformation. À ce</w:t>
      </w:r>
      <w:r w:rsidR="00B31E2E">
        <w:rPr>
          <w:sz w:val="22"/>
          <w:szCs w:val="22"/>
          <w:lang w:val="fr-FR"/>
        </w:rPr>
        <w:t xml:space="preserve">t effet </w:t>
      </w:r>
      <w:r w:rsidRPr="002837A0">
        <w:rPr>
          <w:sz w:val="22"/>
          <w:szCs w:val="22"/>
          <w:lang w:val="fr-FR"/>
        </w:rPr>
        <w:t xml:space="preserve">, les usines de transformation de la noix de cajou </w:t>
      </w:r>
      <w:r w:rsidR="0059232A" w:rsidRPr="002837A0">
        <w:rPr>
          <w:sz w:val="22"/>
          <w:szCs w:val="22"/>
          <w:lang w:val="fr-FR"/>
        </w:rPr>
        <w:t>travailla</w:t>
      </w:r>
      <w:r w:rsidRPr="002837A0">
        <w:rPr>
          <w:sz w:val="22"/>
          <w:szCs w:val="22"/>
          <w:lang w:val="fr-FR"/>
        </w:rPr>
        <w:t xml:space="preserve">nt déjà avec un réseau de communautés et de villages, ou </w:t>
      </w:r>
      <w:r w:rsidR="0059232A" w:rsidRPr="002837A0">
        <w:rPr>
          <w:sz w:val="22"/>
          <w:szCs w:val="22"/>
          <w:lang w:val="fr-FR"/>
        </w:rPr>
        <w:t xml:space="preserve">des </w:t>
      </w:r>
      <w:r w:rsidRPr="002837A0">
        <w:rPr>
          <w:sz w:val="22"/>
          <w:szCs w:val="22"/>
          <w:lang w:val="fr-FR"/>
        </w:rPr>
        <w:t xml:space="preserve">coopératives, </w:t>
      </w:r>
      <w:r w:rsidR="00B22039">
        <w:rPr>
          <w:sz w:val="22"/>
          <w:szCs w:val="22"/>
          <w:lang w:val="fr-FR"/>
        </w:rPr>
        <w:t xml:space="preserve">et </w:t>
      </w:r>
      <w:r w:rsidRPr="002837A0">
        <w:rPr>
          <w:sz w:val="22"/>
          <w:szCs w:val="22"/>
          <w:lang w:val="fr-FR"/>
        </w:rPr>
        <w:t xml:space="preserve">organisant des formations et des activités avec les agriculteurs </w:t>
      </w:r>
      <w:r w:rsidR="0059232A" w:rsidRPr="002837A0">
        <w:rPr>
          <w:sz w:val="22"/>
          <w:szCs w:val="22"/>
          <w:lang w:val="fr-FR"/>
        </w:rPr>
        <w:t xml:space="preserve">dans le but </w:t>
      </w:r>
      <w:r w:rsidR="00B22039">
        <w:rPr>
          <w:sz w:val="22"/>
          <w:szCs w:val="22"/>
          <w:lang w:val="fr-FR"/>
        </w:rPr>
        <w:t xml:space="preserve">d’acheter </w:t>
      </w:r>
      <w:r w:rsidRPr="002837A0">
        <w:rPr>
          <w:sz w:val="22"/>
          <w:szCs w:val="22"/>
          <w:lang w:val="fr-FR"/>
        </w:rPr>
        <w:t xml:space="preserve">la </w:t>
      </w:r>
      <w:r w:rsidR="0059232A" w:rsidRPr="002837A0">
        <w:rPr>
          <w:sz w:val="22"/>
          <w:szCs w:val="22"/>
          <w:lang w:val="fr-FR"/>
        </w:rPr>
        <w:t>NCB</w:t>
      </w:r>
      <w:r w:rsidR="00C842D3" w:rsidRPr="002837A0">
        <w:rPr>
          <w:sz w:val="22"/>
          <w:szCs w:val="22"/>
          <w:lang w:val="fr-FR"/>
        </w:rPr>
        <w:t xml:space="preserve"> (Noix de Cajou Brute)</w:t>
      </w:r>
      <w:r w:rsidRPr="002837A0">
        <w:rPr>
          <w:sz w:val="22"/>
          <w:szCs w:val="22"/>
          <w:lang w:val="fr-FR"/>
        </w:rPr>
        <w:t xml:space="preserve"> seront privilégiées. Les nouvelles usines de transformation de la noix de cajou (ou les usines de transformation de la noix de cajou en cours qui ne soutenaient pas les agriculteurs) doivent faire preuve d'un engagement </w:t>
      </w:r>
      <w:r w:rsidR="0059232A" w:rsidRPr="002837A0">
        <w:rPr>
          <w:sz w:val="22"/>
          <w:szCs w:val="22"/>
          <w:lang w:val="fr-FR"/>
        </w:rPr>
        <w:t xml:space="preserve">considérable </w:t>
      </w:r>
      <w:r w:rsidRPr="002837A0">
        <w:rPr>
          <w:sz w:val="22"/>
          <w:szCs w:val="22"/>
          <w:lang w:val="fr-FR"/>
        </w:rPr>
        <w:t>de ressources financières et humaines pour développer leur propre programme de chaîne d'approvisionnement / lien avec les groupes d'agriculteurs.</w:t>
      </w:r>
    </w:p>
    <w:p w14:paraId="243A9749" w14:textId="675C1B6F" w:rsidR="00453039" w:rsidRPr="002837A0" w:rsidRDefault="00453039" w:rsidP="00DA0909">
      <w:pPr>
        <w:suppressAutoHyphens w:val="0"/>
        <w:spacing w:before="100" w:beforeAutospacing="1" w:after="100" w:afterAutospacing="1"/>
        <w:rPr>
          <w:sz w:val="22"/>
          <w:szCs w:val="22"/>
          <w:lang w:val="fr-FR"/>
        </w:rPr>
      </w:pPr>
      <w:r w:rsidRPr="002837A0">
        <w:rPr>
          <w:sz w:val="22"/>
          <w:szCs w:val="22"/>
          <w:lang w:val="fr-FR"/>
        </w:rPr>
        <w:t xml:space="preserve">Ce premier appel </w:t>
      </w:r>
      <w:r w:rsidR="00525265">
        <w:rPr>
          <w:sz w:val="22"/>
          <w:szCs w:val="22"/>
          <w:lang w:val="fr-FR"/>
        </w:rPr>
        <w:t>à candidature</w:t>
      </w:r>
      <w:r w:rsidR="00A85F4F">
        <w:rPr>
          <w:sz w:val="22"/>
          <w:szCs w:val="22"/>
          <w:lang w:val="fr-FR"/>
        </w:rPr>
        <w:t>s</w:t>
      </w:r>
      <w:r w:rsidR="00525265">
        <w:rPr>
          <w:sz w:val="22"/>
          <w:szCs w:val="22"/>
          <w:lang w:val="fr-FR"/>
        </w:rPr>
        <w:t xml:space="preserve"> </w:t>
      </w:r>
      <w:r w:rsidRPr="002837A0">
        <w:rPr>
          <w:sz w:val="22"/>
          <w:szCs w:val="22"/>
          <w:lang w:val="fr-FR"/>
        </w:rPr>
        <w:t xml:space="preserve">pour la vulgarisation agricole sera limité aux activités en Côte d’Ivoire, au Ghana et au Nigéria. L'année prochaine, PRO-Cashew prévoit d'émettre un autre appel </w:t>
      </w:r>
      <w:r w:rsidR="00525265">
        <w:rPr>
          <w:sz w:val="22"/>
          <w:szCs w:val="22"/>
          <w:lang w:val="fr-FR"/>
        </w:rPr>
        <w:t>à</w:t>
      </w:r>
      <w:r w:rsidR="00A85F4F">
        <w:rPr>
          <w:sz w:val="22"/>
          <w:szCs w:val="22"/>
          <w:lang w:val="fr-FR"/>
        </w:rPr>
        <w:t xml:space="preserve"> </w:t>
      </w:r>
      <w:r w:rsidR="00CD0F5A">
        <w:rPr>
          <w:sz w:val="22"/>
          <w:szCs w:val="22"/>
          <w:lang w:val="fr-FR"/>
        </w:rPr>
        <w:t xml:space="preserve">candidatures </w:t>
      </w:r>
      <w:r w:rsidR="00CD0F5A" w:rsidRPr="002837A0">
        <w:rPr>
          <w:sz w:val="22"/>
          <w:szCs w:val="22"/>
          <w:lang w:val="fr-FR"/>
        </w:rPr>
        <w:t>qui</w:t>
      </w:r>
      <w:r w:rsidRPr="002837A0">
        <w:rPr>
          <w:sz w:val="22"/>
          <w:szCs w:val="22"/>
          <w:lang w:val="fr-FR"/>
        </w:rPr>
        <w:t xml:space="preserve"> inclura également le Bénin et le Burkina Faso.</w:t>
      </w:r>
    </w:p>
    <w:p w14:paraId="1E617A08" w14:textId="0DC597D1" w:rsidR="00453039" w:rsidRPr="002837A0" w:rsidRDefault="005674A9" w:rsidP="00453039">
      <w:pPr>
        <w:pBdr>
          <w:top w:val="nil"/>
          <w:left w:val="nil"/>
          <w:bottom w:val="nil"/>
          <w:right w:val="nil"/>
          <w:between w:val="nil"/>
        </w:pBdr>
        <w:suppressAutoHyphens w:val="0"/>
        <w:spacing w:after="160"/>
        <w:ind w:left="1440" w:hanging="1440"/>
        <w:jc w:val="both"/>
        <w:rPr>
          <w:b/>
          <w:sz w:val="22"/>
          <w:szCs w:val="22"/>
          <w:lang w:val="fr-FR"/>
        </w:rPr>
      </w:pPr>
      <w:r w:rsidRPr="002837A0">
        <w:rPr>
          <w:b/>
          <w:sz w:val="22"/>
          <w:szCs w:val="22"/>
          <w:lang w:val="fr-FR"/>
        </w:rPr>
        <w:t>Pays</w:t>
      </w:r>
      <w:r w:rsidR="00453039" w:rsidRPr="002837A0">
        <w:rPr>
          <w:b/>
          <w:sz w:val="22"/>
          <w:szCs w:val="22"/>
          <w:lang w:val="fr-FR"/>
        </w:rPr>
        <w:t xml:space="preserve">                Régions visées</w:t>
      </w:r>
    </w:p>
    <w:p w14:paraId="1C933D54" w14:textId="0B594C50" w:rsidR="00453039" w:rsidRPr="002837A0" w:rsidRDefault="00453039" w:rsidP="00453039">
      <w:pPr>
        <w:pBdr>
          <w:top w:val="nil"/>
          <w:left w:val="nil"/>
          <w:bottom w:val="nil"/>
          <w:right w:val="nil"/>
          <w:between w:val="nil"/>
        </w:pBdr>
        <w:suppressAutoHyphens w:val="0"/>
        <w:spacing w:after="160"/>
        <w:ind w:left="1440" w:hanging="1440"/>
        <w:jc w:val="both"/>
        <w:rPr>
          <w:sz w:val="22"/>
          <w:szCs w:val="22"/>
          <w:lang w:val="fr-FR"/>
        </w:rPr>
      </w:pPr>
      <w:r w:rsidRPr="002837A0">
        <w:rPr>
          <w:sz w:val="22"/>
          <w:szCs w:val="22"/>
          <w:lang w:val="fr-FR"/>
        </w:rPr>
        <w:t>Côte d’Ivoire     Régions : Gontougo, Hambol, Béré, Gbéké, Marahoué, Boukane, Poro</w:t>
      </w:r>
    </w:p>
    <w:p w14:paraId="444D06B4" w14:textId="4F661A39" w:rsidR="00CD0F5A" w:rsidRDefault="00453039" w:rsidP="00CD0F5A">
      <w:pPr>
        <w:pBdr>
          <w:top w:val="nil"/>
          <w:left w:val="nil"/>
          <w:bottom w:val="nil"/>
          <w:right w:val="nil"/>
          <w:between w:val="nil"/>
        </w:pBdr>
        <w:suppressAutoHyphens w:val="0"/>
        <w:spacing w:after="160"/>
        <w:ind w:left="1440" w:hanging="1440"/>
        <w:jc w:val="both"/>
        <w:rPr>
          <w:sz w:val="22"/>
          <w:szCs w:val="22"/>
          <w:lang w:val="fr-FR"/>
        </w:rPr>
      </w:pPr>
      <w:r w:rsidRPr="002837A0">
        <w:rPr>
          <w:sz w:val="22"/>
          <w:szCs w:val="22"/>
          <w:lang w:val="fr-FR"/>
        </w:rPr>
        <w:t xml:space="preserve">Ghana                Régions :  Brong Ahafo, Ashanti du Nord, </w:t>
      </w:r>
      <w:proofErr w:type="spellStart"/>
      <w:r w:rsidRPr="002837A0">
        <w:rPr>
          <w:sz w:val="22"/>
          <w:szCs w:val="22"/>
          <w:lang w:val="fr-FR"/>
        </w:rPr>
        <w:t>Upper</w:t>
      </w:r>
      <w:proofErr w:type="spellEnd"/>
      <w:r w:rsidRPr="002837A0">
        <w:rPr>
          <w:sz w:val="22"/>
          <w:szCs w:val="22"/>
          <w:lang w:val="fr-FR"/>
        </w:rPr>
        <w:t xml:space="preserve"> West et Volt</w:t>
      </w:r>
      <w:r w:rsidR="00CD0F5A">
        <w:rPr>
          <w:sz w:val="22"/>
          <w:szCs w:val="22"/>
          <w:lang w:val="fr-FR"/>
        </w:rPr>
        <w:t>a</w:t>
      </w:r>
    </w:p>
    <w:p w14:paraId="57D2DC9B" w14:textId="77777777" w:rsidR="00CD0F5A" w:rsidRDefault="00CD0F5A" w:rsidP="00CD0F5A">
      <w:pPr>
        <w:pBdr>
          <w:top w:val="nil"/>
          <w:left w:val="nil"/>
          <w:bottom w:val="nil"/>
          <w:right w:val="nil"/>
          <w:between w:val="nil"/>
        </w:pBdr>
        <w:suppressAutoHyphens w:val="0"/>
        <w:spacing w:after="160"/>
        <w:ind w:left="1440" w:hanging="1440"/>
        <w:jc w:val="both"/>
        <w:rPr>
          <w:sz w:val="22"/>
          <w:szCs w:val="22"/>
          <w:lang w:val="fr-FR"/>
        </w:rPr>
      </w:pPr>
    </w:p>
    <w:p w14:paraId="0BEAABC4" w14:textId="5A06F431" w:rsidR="00453039" w:rsidRPr="002837A0" w:rsidRDefault="00453039" w:rsidP="00CD0F5A">
      <w:pPr>
        <w:pBdr>
          <w:top w:val="nil"/>
          <w:left w:val="nil"/>
          <w:bottom w:val="nil"/>
          <w:right w:val="nil"/>
          <w:between w:val="nil"/>
        </w:pBdr>
        <w:suppressAutoHyphens w:val="0"/>
        <w:spacing w:after="160"/>
        <w:ind w:left="1440" w:hanging="1440"/>
        <w:jc w:val="both"/>
        <w:rPr>
          <w:sz w:val="22"/>
          <w:szCs w:val="22"/>
          <w:lang w:val="fr-FR"/>
        </w:rPr>
      </w:pPr>
      <w:r w:rsidRPr="002837A0">
        <w:rPr>
          <w:sz w:val="22"/>
          <w:szCs w:val="22"/>
          <w:lang w:val="fr-FR"/>
        </w:rPr>
        <w:t xml:space="preserve">Nigéria            États : </w:t>
      </w:r>
      <w:proofErr w:type="spellStart"/>
      <w:r w:rsidRPr="002837A0">
        <w:rPr>
          <w:sz w:val="22"/>
          <w:szCs w:val="22"/>
          <w:lang w:val="fr-FR"/>
        </w:rPr>
        <w:t>Kogi</w:t>
      </w:r>
      <w:proofErr w:type="spellEnd"/>
      <w:r w:rsidRPr="002837A0">
        <w:rPr>
          <w:sz w:val="22"/>
          <w:szCs w:val="22"/>
          <w:lang w:val="fr-FR"/>
        </w:rPr>
        <w:t xml:space="preserve">, </w:t>
      </w:r>
      <w:proofErr w:type="spellStart"/>
      <w:r w:rsidRPr="002837A0">
        <w:rPr>
          <w:sz w:val="22"/>
          <w:szCs w:val="22"/>
          <w:lang w:val="fr-FR"/>
        </w:rPr>
        <w:t>Kwara</w:t>
      </w:r>
      <w:proofErr w:type="spellEnd"/>
      <w:r w:rsidRPr="002837A0">
        <w:rPr>
          <w:sz w:val="22"/>
          <w:szCs w:val="22"/>
          <w:lang w:val="fr-FR"/>
        </w:rPr>
        <w:t>, Abia, Akwa-Ibom, Anambra, Ogun, Ondo, Nassarawa, Oyo, Edo, Ekiti, Enugu, Benue, Cross Rivers, Delta, Ebonyi, Imo</w:t>
      </w:r>
    </w:p>
    <w:p w14:paraId="6064AE9D" w14:textId="695A0631" w:rsidR="00DA0909" w:rsidRPr="002837A0" w:rsidRDefault="00DA0909" w:rsidP="00DA0909">
      <w:pPr>
        <w:jc w:val="both"/>
        <w:rPr>
          <w:sz w:val="22"/>
          <w:szCs w:val="22"/>
          <w:lang w:val="fr-FR" w:bidi="ar-EG"/>
        </w:rPr>
      </w:pPr>
    </w:p>
    <w:p w14:paraId="12EB5F71" w14:textId="17A92EF8" w:rsidR="00453039" w:rsidRPr="002837A0" w:rsidRDefault="00453039" w:rsidP="00453039">
      <w:pPr>
        <w:jc w:val="both"/>
        <w:rPr>
          <w:sz w:val="22"/>
          <w:szCs w:val="22"/>
          <w:lang w:val="fr-FR" w:bidi="ar-EG"/>
        </w:rPr>
      </w:pPr>
      <w:r w:rsidRPr="002837A0">
        <w:rPr>
          <w:sz w:val="22"/>
          <w:szCs w:val="22"/>
          <w:lang w:val="fr-FR" w:bidi="ar-EG"/>
        </w:rPr>
        <w:t xml:space="preserve">Comme il faut plus d'un an de formation et de pratique pour que les agriculteurs adoptent les technologies et les pratiques, les subventions de vulgarisation agricole devraient durer 3 ans, à partir d'Août 2020 avec la formation GAP, permettant 3 saisons complètes de formation et d'activités avec Les agriculteurs. Cela permettra aux usines de transformation de la noix de cajou de développer des liens solides avec les agriculteurs, </w:t>
      </w:r>
      <w:r w:rsidR="00E34864" w:rsidRPr="002837A0">
        <w:rPr>
          <w:sz w:val="22"/>
          <w:szCs w:val="22"/>
          <w:lang w:val="fr-FR" w:bidi="ar-EG"/>
        </w:rPr>
        <w:t>ce qui offre</w:t>
      </w:r>
      <w:r w:rsidRPr="002837A0">
        <w:rPr>
          <w:sz w:val="22"/>
          <w:szCs w:val="22"/>
          <w:lang w:val="fr-FR" w:bidi="ar-EG"/>
        </w:rPr>
        <w:t xml:space="preserve"> des avantages évidents pour les deux parties: une meilleure gestion des vergers et une récolte / post-récolte fournissant plus de </w:t>
      </w:r>
      <w:r w:rsidR="00E34864" w:rsidRPr="002837A0">
        <w:rPr>
          <w:sz w:val="22"/>
          <w:szCs w:val="22"/>
          <w:lang w:val="fr-FR" w:bidi="ar-EG"/>
        </w:rPr>
        <w:t>N</w:t>
      </w:r>
      <w:r w:rsidR="00544171" w:rsidRPr="002837A0">
        <w:rPr>
          <w:sz w:val="22"/>
          <w:szCs w:val="22"/>
          <w:lang w:val="fr-FR" w:bidi="ar-EG"/>
        </w:rPr>
        <w:t xml:space="preserve">oix de </w:t>
      </w:r>
      <w:r w:rsidR="00E34864" w:rsidRPr="002837A0">
        <w:rPr>
          <w:sz w:val="22"/>
          <w:szCs w:val="22"/>
          <w:lang w:val="fr-FR" w:bidi="ar-EG"/>
        </w:rPr>
        <w:t>C</w:t>
      </w:r>
      <w:r w:rsidR="00544171" w:rsidRPr="002837A0">
        <w:rPr>
          <w:sz w:val="22"/>
          <w:szCs w:val="22"/>
          <w:lang w:val="fr-FR" w:bidi="ar-EG"/>
        </w:rPr>
        <w:t xml:space="preserve">ajou </w:t>
      </w:r>
      <w:r w:rsidR="00E34864" w:rsidRPr="002837A0">
        <w:rPr>
          <w:sz w:val="22"/>
          <w:szCs w:val="22"/>
          <w:lang w:val="fr-FR" w:bidi="ar-EG"/>
        </w:rPr>
        <w:t>B</w:t>
      </w:r>
      <w:r w:rsidR="00544171" w:rsidRPr="002837A0">
        <w:rPr>
          <w:sz w:val="22"/>
          <w:szCs w:val="22"/>
          <w:lang w:val="fr-FR" w:bidi="ar-EG"/>
        </w:rPr>
        <w:t>rutes</w:t>
      </w:r>
      <w:r w:rsidRPr="002837A0">
        <w:rPr>
          <w:sz w:val="22"/>
          <w:szCs w:val="22"/>
          <w:lang w:val="fr-FR" w:bidi="ar-EG"/>
        </w:rPr>
        <w:t xml:space="preserve"> de meilleure qualité. L'augmentation du volume de KOR (Kernel Outurn Ratio) plus élevé fournira de meilleurs revenus aux agriculteurs et un meilleur rendement pour les usines.</w:t>
      </w:r>
    </w:p>
    <w:p w14:paraId="3D18AAA9" w14:textId="77777777" w:rsidR="00CD0F5A" w:rsidRDefault="00CD0F5A" w:rsidP="00453039">
      <w:pPr>
        <w:jc w:val="both"/>
        <w:rPr>
          <w:sz w:val="22"/>
          <w:szCs w:val="22"/>
          <w:lang w:val="fr-FR" w:bidi="ar-EG"/>
        </w:rPr>
      </w:pPr>
    </w:p>
    <w:p w14:paraId="6AB934A9" w14:textId="1B08D679" w:rsidR="00453039" w:rsidRPr="002837A0" w:rsidRDefault="00453039" w:rsidP="00453039">
      <w:pPr>
        <w:jc w:val="both"/>
        <w:rPr>
          <w:sz w:val="22"/>
          <w:szCs w:val="22"/>
          <w:lang w:val="fr-FR" w:bidi="ar-EG"/>
        </w:rPr>
      </w:pPr>
      <w:r w:rsidRPr="002837A0">
        <w:rPr>
          <w:sz w:val="22"/>
          <w:szCs w:val="22"/>
          <w:lang w:val="fr-FR" w:bidi="ar-EG"/>
        </w:rPr>
        <w:t xml:space="preserve">Les investissements de PRO-Cashew dans les activités individuelles de subvention de vulgarisation agricole devraient </w:t>
      </w:r>
      <w:r w:rsidR="00E34864" w:rsidRPr="002837A0">
        <w:rPr>
          <w:sz w:val="22"/>
          <w:szCs w:val="22"/>
          <w:lang w:val="fr-FR" w:bidi="ar-EG"/>
        </w:rPr>
        <w:t xml:space="preserve">aller de </w:t>
      </w:r>
      <w:r w:rsidRPr="002837A0">
        <w:rPr>
          <w:sz w:val="22"/>
          <w:szCs w:val="22"/>
          <w:lang w:val="fr-FR" w:bidi="ar-EG"/>
        </w:rPr>
        <w:t>100 000 $ à 200 000 $. La période de performance devrait s'étendre sur un maximum de 3 ans, c</w:t>
      </w:r>
      <w:r w:rsidR="00DA2187" w:rsidRPr="002837A0">
        <w:rPr>
          <w:sz w:val="22"/>
          <w:szCs w:val="22"/>
          <w:lang w:val="fr-FR" w:bidi="ar-EG"/>
        </w:rPr>
        <w:t>ommençant approximativement en Août 2020 et se terminant en S</w:t>
      </w:r>
      <w:r w:rsidRPr="002837A0">
        <w:rPr>
          <w:sz w:val="22"/>
          <w:szCs w:val="22"/>
          <w:lang w:val="fr-FR" w:bidi="ar-EG"/>
        </w:rPr>
        <w:t>eptembre 2023.</w:t>
      </w:r>
    </w:p>
    <w:p w14:paraId="270E7C22" w14:textId="77777777" w:rsidR="00CD0F5A" w:rsidRDefault="00CD0F5A" w:rsidP="00453039">
      <w:pPr>
        <w:jc w:val="both"/>
        <w:rPr>
          <w:sz w:val="22"/>
          <w:szCs w:val="22"/>
          <w:lang w:val="fr-FR" w:bidi="ar-EG"/>
        </w:rPr>
      </w:pPr>
    </w:p>
    <w:p w14:paraId="118BAA5C" w14:textId="7657F2E7" w:rsidR="00DA0909" w:rsidRPr="002837A0" w:rsidRDefault="00453039" w:rsidP="00453039">
      <w:pPr>
        <w:jc w:val="both"/>
        <w:rPr>
          <w:sz w:val="22"/>
          <w:szCs w:val="22"/>
          <w:lang w:val="fr-FR" w:bidi="ar-EG"/>
        </w:rPr>
      </w:pPr>
      <w:r w:rsidRPr="002837A0">
        <w:rPr>
          <w:sz w:val="22"/>
          <w:szCs w:val="22"/>
          <w:lang w:val="fr-FR" w:bidi="ar-EG"/>
        </w:rPr>
        <w:t>Le projet tiendra des séances d'information dans les régions du projet et à Abidjan selon le calendrier ci-dessous:</w:t>
      </w:r>
    </w:p>
    <w:p w14:paraId="5933FBB6" w14:textId="77777777" w:rsidR="00DA2187" w:rsidRPr="002837A0" w:rsidRDefault="00DA2187" w:rsidP="00DA2187">
      <w:pPr>
        <w:suppressAutoHyphens w:val="0"/>
        <w:spacing w:before="100" w:beforeAutospacing="1" w:after="100" w:afterAutospacing="1"/>
        <w:rPr>
          <w:sz w:val="22"/>
          <w:szCs w:val="22"/>
          <w:u w:val="single"/>
          <w:lang w:val="fr-FR"/>
        </w:rPr>
      </w:pPr>
      <w:r w:rsidRPr="002837A0">
        <w:rPr>
          <w:sz w:val="22"/>
          <w:szCs w:val="22"/>
          <w:u w:val="single"/>
          <w:lang w:val="fr-FR"/>
        </w:rPr>
        <w:t>Côte d’Ivoire</w:t>
      </w:r>
    </w:p>
    <w:p w14:paraId="3A4C4F7B" w14:textId="55520EC4" w:rsidR="00DA2187" w:rsidRDefault="00DA2187" w:rsidP="00DA2187">
      <w:pPr>
        <w:suppressAutoHyphens w:val="0"/>
        <w:spacing w:before="100" w:beforeAutospacing="1" w:after="100" w:afterAutospacing="1"/>
        <w:rPr>
          <w:sz w:val="22"/>
          <w:szCs w:val="22"/>
          <w:lang w:val="fr-FR"/>
        </w:rPr>
      </w:pPr>
      <w:r w:rsidRPr="002837A0">
        <w:rPr>
          <w:b/>
          <w:sz w:val="22"/>
          <w:szCs w:val="22"/>
          <w:lang w:val="fr-FR"/>
        </w:rPr>
        <w:t>Lieu</w:t>
      </w:r>
      <w:r w:rsidRPr="002837A0">
        <w:rPr>
          <w:sz w:val="22"/>
          <w:szCs w:val="22"/>
          <w:lang w:val="fr-FR"/>
        </w:rPr>
        <w:t>: 17 juillet 2020 à 11 h</w:t>
      </w:r>
      <w:r w:rsidR="00CD0F5A">
        <w:rPr>
          <w:sz w:val="22"/>
          <w:szCs w:val="22"/>
          <w:lang w:val="fr-FR"/>
        </w:rPr>
        <w:t>, sur la plateforme de ACA</w:t>
      </w:r>
    </w:p>
    <w:p w14:paraId="3E386B89" w14:textId="686B25D2" w:rsidR="00CD0F5A" w:rsidRPr="00CD0F5A" w:rsidRDefault="00CD0F5A" w:rsidP="00CD0F5A">
      <w:pPr>
        <w:pStyle w:val="NormalWeb"/>
        <w:rPr>
          <w:sz w:val="22"/>
          <w:lang w:val="fr-FR"/>
        </w:rPr>
      </w:pPr>
      <w:r>
        <w:rPr>
          <w:rStyle w:val="Strong"/>
          <w:i/>
          <w:iCs/>
          <w:color w:val="A52A2A"/>
          <w:lang w:val="fr-FR"/>
        </w:rPr>
        <w:t>Lien</w:t>
      </w:r>
      <w:r w:rsidRPr="00CD0F5A">
        <w:rPr>
          <w:rStyle w:val="Strong"/>
          <w:i/>
          <w:iCs/>
          <w:color w:val="A52A2A"/>
          <w:lang w:val="fr-FR"/>
        </w:rPr>
        <w:t>: </w:t>
      </w:r>
      <w:hyperlink r:id="rId11" w:history="1">
        <w:r w:rsidRPr="00CD0F5A">
          <w:rPr>
            <w:rStyle w:val="Hyperlink"/>
            <w:b/>
            <w:bCs/>
            <w:i/>
            <w:iCs/>
            <w:color w:val="A52A2A"/>
            <w:lang w:val="fr-FR"/>
          </w:rPr>
          <w:t>https://zoom.us/j/95446416104?pwd=MGRiRjlUZVMyaHI3Ly9ISVdBNFgxUT09</w:t>
        </w:r>
      </w:hyperlink>
    </w:p>
    <w:p w14:paraId="31A4D6FC" w14:textId="0C3F6D38" w:rsidR="00DA2187" w:rsidRPr="00E30BD5" w:rsidRDefault="00DA2187" w:rsidP="00DA2187">
      <w:pPr>
        <w:suppressAutoHyphens w:val="0"/>
        <w:spacing w:before="100" w:beforeAutospacing="1" w:after="100" w:afterAutospacing="1"/>
        <w:rPr>
          <w:sz w:val="22"/>
          <w:szCs w:val="22"/>
          <w:u w:val="single"/>
          <w:lang w:val="fr-FR"/>
        </w:rPr>
      </w:pPr>
      <w:r w:rsidRPr="002837A0">
        <w:rPr>
          <w:sz w:val="22"/>
          <w:szCs w:val="22"/>
          <w:u w:val="single"/>
          <w:lang w:val="fr-FR"/>
        </w:rPr>
        <w:t>Ghana</w:t>
      </w:r>
      <w:r w:rsidR="00E30BD5">
        <w:rPr>
          <w:sz w:val="22"/>
          <w:szCs w:val="22"/>
          <w:u w:val="single"/>
          <w:lang w:val="fr-FR"/>
        </w:rPr>
        <w:t xml:space="preserve"> </w:t>
      </w:r>
      <w:r w:rsidRPr="002837A0">
        <w:rPr>
          <w:sz w:val="22"/>
          <w:szCs w:val="22"/>
          <w:lang w:val="fr-FR"/>
        </w:rPr>
        <w:t>Lieu: 13 juillet 2020 à 11 h</w:t>
      </w:r>
      <w:r w:rsidRPr="00E30BD5">
        <w:rPr>
          <w:sz w:val="22"/>
          <w:szCs w:val="22"/>
          <w:lang w:val="fr-FR"/>
        </w:rPr>
        <w:t xml:space="preserve">. </w:t>
      </w:r>
      <w:r w:rsidR="00E30BD5" w:rsidRPr="00E30BD5">
        <w:rPr>
          <w:sz w:val="22"/>
          <w:szCs w:val="22"/>
          <w:lang w:val="fr-FR"/>
        </w:rPr>
        <w:t xml:space="preserve">                               </w:t>
      </w:r>
      <w:r w:rsidRPr="00E30BD5">
        <w:rPr>
          <w:sz w:val="22"/>
          <w:szCs w:val="22"/>
          <w:u w:val="single"/>
          <w:lang w:val="fr-FR"/>
        </w:rPr>
        <w:t>Nigeria</w:t>
      </w:r>
      <w:r w:rsidR="00E30BD5">
        <w:rPr>
          <w:sz w:val="22"/>
          <w:szCs w:val="22"/>
          <w:u w:val="single"/>
          <w:lang w:val="fr-FR"/>
        </w:rPr>
        <w:t xml:space="preserve"> </w:t>
      </w:r>
      <w:r w:rsidRPr="00E30BD5">
        <w:rPr>
          <w:bCs/>
          <w:sz w:val="22"/>
          <w:szCs w:val="22"/>
          <w:lang w:val="fr-FR"/>
        </w:rPr>
        <w:t>Lieu</w:t>
      </w:r>
      <w:r w:rsidRPr="002837A0">
        <w:rPr>
          <w:sz w:val="22"/>
          <w:szCs w:val="22"/>
          <w:lang w:val="fr-FR"/>
        </w:rPr>
        <w:t>: 15 juillet 2020 à 1</w:t>
      </w:r>
      <w:r w:rsidR="00CD0F5A">
        <w:rPr>
          <w:sz w:val="22"/>
          <w:szCs w:val="22"/>
          <w:lang w:val="fr-FR"/>
        </w:rPr>
        <w:t>0</w:t>
      </w:r>
      <w:r w:rsidRPr="002837A0">
        <w:rPr>
          <w:sz w:val="22"/>
          <w:szCs w:val="22"/>
          <w:lang w:val="fr-FR"/>
        </w:rPr>
        <w:t>h</w:t>
      </w:r>
      <w:r w:rsidR="00CD0F5A">
        <w:rPr>
          <w:sz w:val="22"/>
          <w:szCs w:val="22"/>
          <w:lang w:val="fr-FR"/>
        </w:rPr>
        <w:t xml:space="preserve">, heure locale. </w:t>
      </w:r>
    </w:p>
    <w:p w14:paraId="1BD841EA" w14:textId="70E606E3" w:rsidR="00DA2187" w:rsidRPr="002837A0" w:rsidRDefault="00DA2187" w:rsidP="00DA2187">
      <w:pPr>
        <w:suppressAutoHyphens w:val="0"/>
        <w:spacing w:before="100" w:beforeAutospacing="1" w:after="100" w:afterAutospacing="1"/>
        <w:rPr>
          <w:sz w:val="22"/>
          <w:szCs w:val="22"/>
          <w:lang w:val="fr-FR"/>
        </w:rPr>
      </w:pPr>
      <w:r w:rsidRPr="002837A0">
        <w:rPr>
          <w:sz w:val="22"/>
          <w:szCs w:val="22"/>
          <w:lang w:val="fr-FR"/>
        </w:rPr>
        <w:t xml:space="preserve">Cet atelier facultatif permettra aux candidats admissibles et intéressés de poser des questions sur l'appel </w:t>
      </w:r>
      <w:r w:rsidR="00A85F4F">
        <w:rPr>
          <w:sz w:val="22"/>
          <w:szCs w:val="22"/>
          <w:lang w:val="fr-FR"/>
        </w:rPr>
        <w:t>à candidatures</w:t>
      </w:r>
      <w:r w:rsidRPr="002837A0">
        <w:rPr>
          <w:sz w:val="22"/>
          <w:szCs w:val="22"/>
          <w:lang w:val="fr-FR"/>
        </w:rPr>
        <w:t xml:space="preserve"> et de recevoir des conseils sur la façon de </w:t>
      </w:r>
      <w:r w:rsidR="00A85F4F">
        <w:rPr>
          <w:sz w:val="22"/>
          <w:szCs w:val="22"/>
          <w:lang w:val="fr-FR"/>
        </w:rPr>
        <w:t>renseigner</w:t>
      </w:r>
      <w:r w:rsidR="00A85F4F" w:rsidRPr="002837A0">
        <w:rPr>
          <w:sz w:val="22"/>
          <w:szCs w:val="22"/>
          <w:lang w:val="fr-FR"/>
        </w:rPr>
        <w:t xml:space="preserve"> </w:t>
      </w:r>
      <w:r w:rsidRPr="002837A0">
        <w:rPr>
          <w:sz w:val="22"/>
          <w:szCs w:val="22"/>
          <w:lang w:val="fr-FR"/>
        </w:rPr>
        <w:t xml:space="preserve">le formulaire de demande figurant à </w:t>
      </w:r>
      <w:r w:rsidR="00E30BD5">
        <w:rPr>
          <w:sz w:val="22"/>
          <w:szCs w:val="22"/>
          <w:lang w:val="fr-FR"/>
        </w:rPr>
        <w:t xml:space="preserve">aux pièces jointe A et B, et les annexes A et B. </w:t>
      </w:r>
    </w:p>
    <w:p w14:paraId="239B55FE" w14:textId="5265629B" w:rsidR="00C85841" w:rsidRPr="002837A0" w:rsidRDefault="00DA2187" w:rsidP="00DA2187">
      <w:pPr>
        <w:suppressAutoHyphens w:val="0"/>
        <w:spacing w:before="100" w:beforeAutospacing="1" w:after="100" w:afterAutospacing="1"/>
        <w:rPr>
          <w:sz w:val="22"/>
          <w:szCs w:val="22"/>
          <w:lang w:val="fr-FR"/>
        </w:rPr>
      </w:pPr>
      <w:r w:rsidRPr="002837A0">
        <w:rPr>
          <w:sz w:val="22"/>
          <w:szCs w:val="22"/>
          <w:lang w:val="fr-FR"/>
        </w:rPr>
        <w:t>Trois séances de questions / réponses en ligne les 21, 23 et 24 juillet auront lieu.</w:t>
      </w:r>
    </w:p>
    <w:p w14:paraId="20997229" w14:textId="4EF7551C" w:rsidR="00DA2187" w:rsidRPr="00CD0F5A" w:rsidRDefault="00DA2187" w:rsidP="00CD0F5A">
      <w:pPr>
        <w:suppressAutoHyphens w:val="0"/>
        <w:spacing w:before="100" w:beforeAutospacing="1" w:after="100" w:afterAutospacing="1"/>
        <w:jc w:val="both"/>
        <w:rPr>
          <w:sz w:val="22"/>
          <w:szCs w:val="22"/>
          <w:lang w:val="fr-FR"/>
        </w:rPr>
      </w:pPr>
      <w:r w:rsidRPr="00CD0F5A">
        <w:rPr>
          <w:sz w:val="22"/>
          <w:szCs w:val="22"/>
          <w:lang w:val="fr-FR"/>
        </w:rPr>
        <w:t xml:space="preserve">Veuillez noter que les demandes en réponse à cet appel à candidatures doivent être soumises avant le 31 juillet 2020, à 17 h 00 GMT. Pour toute question pendant le processus, veuillez envoyer un e-mail à </w:t>
      </w:r>
      <w:r w:rsidRPr="00CD0F5A">
        <w:rPr>
          <w:color w:val="0070C0"/>
          <w:sz w:val="22"/>
          <w:szCs w:val="22"/>
          <w:u w:val="single"/>
          <w:lang w:val="fr-FR"/>
        </w:rPr>
        <w:t>grant@cnfa-procashew.org</w:t>
      </w:r>
      <w:r w:rsidRPr="00CD0F5A">
        <w:rPr>
          <w:color w:val="FF0000"/>
          <w:sz w:val="22"/>
          <w:szCs w:val="22"/>
          <w:lang w:val="fr-FR"/>
        </w:rPr>
        <w:t xml:space="preserve">. </w:t>
      </w:r>
      <w:r w:rsidRPr="00CD0F5A">
        <w:rPr>
          <w:sz w:val="22"/>
          <w:szCs w:val="22"/>
          <w:lang w:val="fr-FR"/>
        </w:rPr>
        <w:t xml:space="preserve">La date limite pour toutes les questions liées au processus </w:t>
      </w:r>
      <w:r w:rsidR="00A85F4F">
        <w:rPr>
          <w:sz w:val="22"/>
          <w:szCs w:val="22"/>
          <w:lang w:val="fr-FR"/>
        </w:rPr>
        <w:t xml:space="preserve">est fixée </w:t>
      </w:r>
      <w:r w:rsidRPr="00CD0F5A">
        <w:rPr>
          <w:sz w:val="22"/>
          <w:szCs w:val="22"/>
          <w:lang w:val="fr-FR"/>
        </w:rPr>
        <w:t xml:space="preserve">au plus tard le 17 juillet 2020, 17h00 GMT. Cet appel </w:t>
      </w:r>
      <w:r w:rsidR="00A90A30" w:rsidRPr="00CD0F5A">
        <w:rPr>
          <w:sz w:val="22"/>
          <w:szCs w:val="22"/>
          <w:lang w:val="fr-FR"/>
        </w:rPr>
        <w:t>à candidatures</w:t>
      </w:r>
      <w:r w:rsidRPr="00CD0F5A">
        <w:rPr>
          <w:sz w:val="22"/>
          <w:szCs w:val="22"/>
          <w:lang w:val="fr-FR"/>
        </w:rPr>
        <w:t xml:space="preserve"> contient les documents suivants:</w:t>
      </w:r>
    </w:p>
    <w:p w14:paraId="52AFEC0A" w14:textId="77777777" w:rsidR="00E30BD5" w:rsidRPr="002837A0" w:rsidRDefault="00E30BD5" w:rsidP="00E30BD5">
      <w:pPr>
        <w:suppressAutoHyphens w:val="0"/>
        <w:spacing w:line="276" w:lineRule="auto"/>
        <w:rPr>
          <w:iCs/>
          <w:sz w:val="22"/>
          <w:szCs w:val="22"/>
          <w:lang w:val="fr-FR" w:eastAsia="zh-CN"/>
        </w:rPr>
      </w:pPr>
      <w:r w:rsidRPr="002837A0">
        <w:rPr>
          <w:iCs/>
          <w:sz w:val="22"/>
          <w:szCs w:val="22"/>
          <w:lang w:val="fr-FR" w:eastAsia="zh-CN"/>
        </w:rPr>
        <w:t xml:space="preserve">Pièce jointe A </w:t>
      </w:r>
      <w:r>
        <w:rPr>
          <w:iCs/>
          <w:sz w:val="22"/>
          <w:szCs w:val="22"/>
          <w:lang w:val="fr-FR" w:eastAsia="zh-CN"/>
        </w:rPr>
        <w:t>–</w:t>
      </w:r>
      <w:r w:rsidRPr="002837A0">
        <w:rPr>
          <w:iCs/>
          <w:sz w:val="22"/>
          <w:szCs w:val="22"/>
          <w:lang w:val="fr-FR" w:eastAsia="zh-CN"/>
        </w:rPr>
        <w:t xml:space="preserve"> </w:t>
      </w:r>
      <w:r>
        <w:rPr>
          <w:iCs/>
          <w:sz w:val="22"/>
          <w:szCs w:val="22"/>
          <w:lang w:val="fr-FR" w:eastAsia="zh-CN"/>
        </w:rPr>
        <w:t xml:space="preserve">Formulaire de la </w:t>
      </w:r>
      <w:r w:rsidRPr="002837A0">
        <w:rPr>
          <w:iCs/>
          <w:sz w:val="22"/>
          <w:szCs w:val="22"/>
          <w:lang w:val="fr-FR" w:eastAsia="zh-CN"/>
        </w:rPr>
        <w:t>Demande de Subvention</w:t>
      </w:r>
    </w:p>
    <w:p w14:paraId="41FF1CF7" w14:textId="77777777" w:rsidR="00E30BD5" w:rsidRPr="002837A0" w:rsidRDefault="00E30BD5" w:rsidP="00E30BD5">
      <w:pPr>
        <w:suppressAutoHyphens w:val="0"/>
        <w:spacing w:line="276" w:lineRule="auto"/>
        <w:rPr>
          <w:iCs/>
          <w:sz w:val="22"/>
          <w:szCs w:val="22"/>
          <w:lang w:val="fr-FR" w:eastAsia="zh-CN"/>
        </w:rPr>
      </w:pPr>
      <w:r w:rsidRPr="002837A0">
        <w:rPr>
          <w:iCs/>
          <w:sz w:val="22"/>
          <w:szCs w:val="22"/>
          <w:lang w:val="fr-FR" w:eastAsia="zh-CN"/>
        </w:rPr>
        <w:t xml:space="preserve">Pièce jointe B </w:t>
      </w:r>
      <w:r>
        <w:rPr>
          <w:iCs/>
          <w:sz w:val="22"/>
          <w:szCs w:val="22"/>
          <w:lang w:val="fr-FR" w:eastAsia="zh-CN"/>
        </w:rPr>
        <w:t>–</w:t>
      </w:r>
      <w:r w:rsidRPr="002837A0">
        <w:rPr>
          <w:iCs/>
          <w:sz w:val="22"/>
          <w:szCs w:val="22"/>
          <w:lang w:val="fr-FR" w:eastAsia="zh-CN"/>
        </w:rPr>
        <w:t xml:space="preserve"> </w:t>
      </w:r>
      <w:r>
        <w:rPr>
          <w:iCs/>
          <w:sz w:val="22"/>
          <w:szCs w:val="22"/>
          <w:lang w:val="fr-FR" w:eastAsia="zh-CN"/>
        </w:rPr>
        <w:t>Fichier Excel de Budget et des Indicateurs</w:t>
      </w:r>
    </w:p>
    <w:p w14:paraId="730707B2" w14:textId="77777777" w:rsidR="00E30BD5" w:rsidRDefault="00E30BD5" w:rsidP="00E30BD5">
      <w:pPr>
        <w:suppressAutoHyphens w:val="0"/>
        <w:spacing w:line="276" w:lineRule="auto"/>
        <w:rPr>
          <w:iCs/>
          <w:sz w:val="22"/>
          <w:szCs w:val="22"/>
          <w:lang w:val="fr-FR" w:eastAsia="zh-CN"/>
        </w:rPr>
      </w:pPr>
      <w:r>
        <w:rPr>
          <w:iCs/>
          <w:sz w:val="22"/>
          <w:szCs w:val="22"/>
          <w:lang w:val="fr-FR" w:eastAsia="zh-CN"/>
        </w:rPr>
        <w:t xml:space="preserve">Piece jointe C - </w:t>
      </w:r>
      <w:r w:rsidRPr="002837A0">
        <w:rPr>
          <w:iCs/>
          <w:sz w:val="22"/>
          <w:szCs w:val="22"/>
          <w:lang w:val="fr-FR" w:eastAsia="zh-CN"/>
        </w:rPr>
        <w:t>Définition de</w:t>
      </w:r>
      <w:r>
        <w:rPr>
          <w:iCs/>
          <w:sz w:val="22"/>
          <w:szCs w:val="22"/>
          <w:lang w:val="fr-FR" w:eastAsia="zh-CN"/>
        </w:rPr>
        <w:t>s</w:t>
      </w:r>
      <w:r w:rsidRPr="002837A0">
        <w:rPr>
          <w:iCs/>
          <w:sz w:val="22"/>
          <w:szCs w:val="22"/>
          <w:lang w:val="fr-FR" w:eastAsia="zh-CN"/>
        </w:rPr>
        <w:t xml:space="preserve"> </w:t>
      </w:r>
      <w:r>
        <w:rPr>
          <w:iCs/>
          <w:sz w:val="22"/>
          <w:szCs w:val="22"/>
          <w:lang w:val="fr-FR" w:eastAsia="zh-CN"/>
        </w:rPr>
        <w:t>I</w:t>
      </w:r>
      <w:r w:rsidRPr="002837A0">
        <w:rPr>
          <w:iCs/>
          <w:sz w:val="22"/>
          <w:szCs w:val="22"/>
          <w:lang w:val="fr-FR" w:eastAsia="zh-CN"/>
        </w:rPr>
        <w:t>ndicateur</w:t>
      </w:r>
      <w:r>
        <w:rPr>
          <w:iCs/>
          <w:sz w:val="22"/>
          <w:szCs w:val="22"/>
          <w:lang w:val="fr-FR" w:eastAsia="zh-CN"/>
        </w:rPr>
        <w:t>s</w:t>
      </w:r>
      <w:r w:rsidRPr="002837A0">
        <w:rPr>
          <w:iCs/>
          <w:sz w:val="22"/>
          <w:szCs w:val="22"/>
          <w:lang w:val="fr-FR" w:eastAsia="zh-CN"/>
        </w:rPr>
        <w:t xml:space="preserve"> de Performance </w:t>
      </w:r>
    </w:p>
    <w:p w14:paraId="6FBF1AF1" w14:textId="77777777" w:rsidR="00E30BD5" w:rsidRDefault="00E30BD5" w:rsidP="00E30BD5">
      <w:pPr>
        <w:suppressAutoHyphens w:val="0"/>
        <w:spacing w:line="276" w:lineRule="auto"/>
        <w:rPr>
          <w:iCs/>
          <w:sz w:val="22"/>
          <w:szCs w:val="22"/>
          <w:lang w:val="fr-FR" w:eastAsia="zh-CN"/>
        </w:rPr>
      </w:pPr>
      <w:r w:rsidRPr="002837A0">
        <w:rPr>
          <w:iCs/>
          <w:sz w:val="22"/>
          <w:szCs w:val="22"/>
          <w:lang w:val="fr-FR" w:eastAsia="zh-CN"/>
        </w:rPr>
        <w:t>Annexe</w:t>
      </w:r>
      <w:r>
        <w:rPr>
          <w:iCs/>
          <w:sz w:val="22"/>
          <w:szCs w:val="22"/>
          <w:lang w:val="fr-FR" w:eastAsia="zh-CN"/>
        </w:rPr>
        <w:t xml:space="preserve"> A – Liste de contrôle des demandes de subvention</w:t>
      </w:r>
    </w:p>
    <w:p w14:paraId="11798351" w14:textId="77777777" w:rsidR="00E30BD5" w:rsidRDefault="00E30BD5" w:rsidP="00E30BD5">
      <w:pPr>
        <w:suppressAutoHyphens w:val="0"/>
        <w:spacing w:line="276" w:lineRule="auto"/>
        <w:rPr>
          <w:iCs/>
          <w:sz w:val="22"/>
          <w:szCs w:val="22"/>
          <w:lang w:val="fr-FR" w:eastAsia="zh-CN"/>
        </w:rPr>
      </w:pPr>
      <w:r>
        <w:rPr>
          <w:iCs/>
          <w:sz w:val="22"/>
          <w:szCs w:val="22"/>
          <w:lang w:val="fr-FR" w:eastAsia="zh-CN"/>
        </w:rPr>
        <w:t>Annexe B – Lettre d’accompagnement du demandeur</w:t>
      </w:r>
    </w:p>
    <w:p w14:paraId="1260E9F2" w14:textId="7DAF8653" w:rsidR="00166062" w:rsidRPr="002837A0" w:rsidRDefault="00166062" w:rsidP="00CD0F5A">
      <w:pPr>
        <w:suppressAutoHyphens w:val="0"/>
        <w:jc w:val="both"/>
        <w:rPr>
          <w:sz w:val="22"/>
          <w:szCs w:val="22"/>
          <w:lang w:val="fr-FR"/>
        </w:rPr>
      </w:pPr>
      <w:r w:rsidRPr="002837A0">
        <w:rPr>
          <w:sz w:val="26"/>
          <w:szCs w:val="26"/>
          <w:lang w:val="fr-FR"/>
        </w:rPr>
        <w:br w:type="page"/>
      </w:r>
    </w:p>
    <w:p w14:paraId="69F1FACC" w14:textId="77777777" w:rsidR="00070A99" w:rsidRPr="002837A0" w:rsidRDefault="00070A99" w:rsidP="00FE172B">
      <w:pPr>
        <w:pStyle w:val="Heading1"/>
        <w:jc w:val="both"/>
        <w:rPr>
          <w:rFonts w:ascii="Times New Roman" w:hAnsi="Times New Roman" w:cs="Times New Roman"/>
          <w:sz w:val="26"/>
          <w:szCs w:val="26"/>
          <w:lang w:val="fr-FR"/>
        </w:rPr>
      </w:pPr>
    </w:p>
    <w:p w14:paraId="46F04C19" w14:textId="77777777" w:rsidR="00A90A30" w:rsidRPr="002837A0" w:rsidRDefault="00A90A30" w:rsidP="00A90A30">
      <w:pPr>
        <w:pStyle w:val="ListParagraph"/>
        <w:rPr>
          <w:rStyle w:val="Heading2Char"/>
          <w:b w:val="0"/>
          <w:bCs w:val="0"/>
          <w:sz w:val="22"/>
          <w:szCs w:val="22"/>
          <w:lang w:val="fr-FR"/>
        </w:rPr>
      </w:pPr>
    </w:p>
    <w:p w14:paraId="2D325370" w14:textId="77777777" w:rsidR="00A90A30" w:rsidRPr="002837A0" w:rsidRDefault="00A90A30" w:rsidP="00A90A30">
      <w:pPr>
        <w:pBdr>
          <w:top w:val="nil"/>
          <w:left w:val="nil"/>
          <w:bottom w:val="nil"/>
          <w:right w:val="nil"/>
          <w:between w:val="nil"/>
        </w:pBdr>
        <w:suppressAutoHyphens w:val="0"/>
        <w:jc w:val="both"/>
        <w:rPr>
          <w:rStyle w:val="Heading2Char"/>
          <w:bCs w:val="0"/>
          <w:sz w:val="22"/>
          <w:szCs w:val="22"/>
          <w:lang w:val="fr-FR"/>
        </w:rPr>
      </w:pPr>
      <w:r w:rsidRPr="002837A0">
        <w:rPr>
          <w:rStyle w:val="Heading2Char"/>
          <w:bCs w:val="0"/>
          <w:sz w:val="22"/>
          <w:szCs w:val="22"/>
          <w:lang w:val="fr-FR"/>
        </w:rPr>
        <w:t>SECTION: DESCRIPTION DU PROGRAMME</w:t>
      </w:r>
    </w:p>
    <w:p w14:paraId="7EB7CDA5" w14:textId="77777777" w:rsidR="00A90A30" w:rsidRPr="002837A0" w:rsidRDefault="00A90A30" w:rsidP="00A90A30">
      <w:pPr>
        <w:pBdr>
          <w:top w:val="nil"/>
          <w:left w:val="nil"/>
          <w:bottom w:val="nil"/>
          <w:right w:val="nil"/>
          <w:between w:val="nil"/>
        </w:pBdr>
        <w:suppressAutoHyphens w:val="0"/>
        <w:jc w:val="both"/>
        <w:rPr>
          <w:rStyle w:val="Heading2Char"/>
          <w:b w:val="0"/>
          <w:bCs w:val="0"/>
          <w:sz w:val="22"/>
          <w:szCs w:val="22"/>
          <w:lang w:val="fr-FR"/>
        </w:rPr>
      </w:pPr>
    </w:p>
    <w:p w14:paraId="6C592A99" w14:textId="77777777" w:rsidR="00A90A30" w:rsidRPr="002837A0" w:rsidRDefault="00A90A30" w:rsidP="00A90A30">
      <w:pPr>
        <w:pBdr>
          <w:top w:val="nil"/>
          <w:left w:val="nil"/>
          <w:bottom w:val="nil"/>
          <w:right w:val="nil"/>
          <w:between w:val="nil"/>
        </w:pBdr>
        <w:suppressAutoHyphens w:val="0"/>
        <w:jc w:val="both"/>
        <w:rPr>
          <w:rStyle w:val="Heading2Char"/>
          <w:bCs w:val="0"/>
          <w:sz w:val="22"/>
          <w:szCs w:val="22"/>
          <w:lang w:val="fr-FR"/>
        </w:rPr>
      </w:pPr>
      <w:r w:rsidRPr="002837A0">
        <w:rPr>
          <w:rStyle w:val="Heading2Char"/>
          <w:bCs w:val="0"/>
          <w:sz w:val="22"/>
          <w:szCs w:val="22"/>
          <w:lang w:val="fr-FR"/>
        </w:rPr>
        <w:t>IA. À propos du projet PRO-Cashew</w:t>
      </w:r>
    </w:p>
    <w:p w14:paraId="33C432EF" w14:textId="77777777" w:rsidR="00A90A30" w:rsidRPr="002837A0" w:rsidRDefault="00A90A30" w:rsidP="00A90A30">
      <w:pPr>
        <w:pBdr>
          <w:top w:val="nil"/>
          <w:left w:val="nil"/>
          <w:bottom w:val="nil"/>
          <w:right w:val="nil"/>
          <w:between w:val="nil"/>
        </w:pBdr>
        <w:suppressAutoHyphens w:val="0"/>
        <w:jc w:val="both"/>
        <w:rPr>
          <w:rStyle w:val="Heading2Char"/>
          <w:b w:val="0"/>
          <w:bCs w:val="0"/>
          <w:sz w:val="22"/>
          <w:szCs w:val="22"/>
          <w:lang w:val="fr-FR"/>
        </w:rPr>
      </w:pPr>
    </w:p>
    <w:p w14:paraId="08E2BE57" w14:textId="08866157" w:rsidR="00A90A30" w:rsidRPr="002837A0" w:rsidRDefault="00A90A30" w:rsidP="00A90A30">
      <w:pPr>
        <w:pBdr>
          <w:top w:val="nil"/>
          <w:left w:val="nil"/>
          <w:bottom w:val="nil"/>
          <w:right w:val="nil"/>
          <w:between w:val="nil"/>
        </w:pBdr>
        <w:suppressAutoHyphens w:val="0"/>
        <w:jc w:val="both"/>
        <w:rPr>
          <w:rStyle w:val="Heading2Char"/>
          <w:b w:val="0"/>
          <w:bCs w:val="0"/>
          <w:sz w:val="22"/>
          <w:szCs w:val="22"/>
          <w:lang w:val="fr-FR"/>
        </w:rPr>
      </w:pPr>
      <w:r w:rsidRPr="002837A0">
        <w:rPr>
          <w:rStyle w:val="Heading2Char"/>
          <w:b w:val="0"/>
          <w:bCs w:val="0"/>
          <w:sz w:val="22"/>
          <w:szCs w:val="22"/>
          <w:lang w:val="fr-FR"/>
        </w:rPr>
        <w:t xml:space="preserve">Le projet quinquennal </w:t>
      </w:r>
      <w:r w:rsidR="00BC7385" w:rsidRPr="002837A0">
        <w:rPr>
          <w:rStyle w:val="Heading2Char"/>
          <w:b w:val="0"/>
          <w:bCs w:val="0"/>
          <w:sz w:val="22"/>
          <w:szCs w:val="22"/>
          <w:lang w:val="fr-FR"/>
        </w:rPr>
        <w:t>West Africa Cashew Project</w:t>
      </w:r>
      <w:r w:rsidRPr="002837A0">
        <w:rPr>
          <w:rStyle w:val="Heading2Char"/>
          <w:b w:val="0"/>
          <w:bCs w:val="0"/>
          <w:sz w:val="22"/>
          <w:szCs w:val="22"/>
          <w:lang w:val="fr-FR"/>
        </w:rPr>
        <w:t xml:space="preserve"> (PRO-Cashew), financé par l'USDA et mis en œuvre par Cultivating New Frontiers in Agriculture (CNFA), </w:t>
      </w:r>
      <w:r w:rsidR="00C922A0">
        <w:rPr>
          <w:rStyle w:val="Heading2Char"/>
          <w:b w:val="0"/>
          <w:bCs w:val="0"/>
          <w:sz w:val="22"/>
          <w:szCs w:val="22"/>
          <w:lang w:val="fr-FR"/>
        </w:rPr>
        <w:t xml:space="preserve">il </w:t>
      </w:r>
      <w:r w:rsidRPr="002837A0">
        <w:rPr>
          <w:rStyle w:val="Heading2Char"/>
          <w:b w:val="0"/>
          <w:bCs w:val="0"/>
          <w:sz w:val="22"/>
          <w:szCs w:val="22"/>
          <w:lang w:val="fr-FR"/>
        </w:rPr>
        <w:t xml:space="preserve">se concentrera sur les producteurs de noix de cajou au Bénin, au Burkina Faso, en Côte d'Ivoire, au Ghana et au Nigéria. En plus d'aider les producteurs à </w:t>
      </w:r>
      <w:r w:rsidR="00BC7385" w:rsidRPr="002837A0">
        <w:rPr>
          <w:rStyle w:val="Heading2Char"/>
          <w:b w:val="0"/>
          <w:bCs w:val="0"/>
          <w:sz w:val="22"/>
          <w:szCs w:val="22"/>
          <w:lang w:val="fr-FR"/>
        </w:rPr>
        <w:t>améliorer</w:t>
      </w:r>
      <w:r w:rsidRPr="002837A0">
        <w:rPr>
          <w:rStyle w:val="Heading2Char"/>
          <w:b w:val="0"/>
          <w:bCs w:val="0"/>
          <w:sz w:val="22"/>
          <w:szCs w:val="22"/>
          <w:lang w:val="fr-FR"/>
        </w:rPr>
        <w:t xml:space="preserve"> l</w:t>
      </w:r>
      <w:r w:rsidR="00BC7385" w:rsidRPr="002837A0">
        <w:rPr>
          <w:rStyle w:val="Heading2Char"/>
          <w:b w:val="0"/>
          <w:bCs w:val="0"/>
          <w:sz w:val="22"/>
          <w:szCs w:val="22"/>
          <w:lang w:val="fr-FR"/>
        </w:rPr>
        <w:t>eur</w:t>
      </w:r>
      <w:r w:rsidRPr="002837A0">
        <w:rPr>
          <w:rStyle w:val="Heading2Char"/>
          <w:b w:val="0"/>
          <w:bCs w:val="0"/>
          <w:sz w:val="22"/>
          <w:szCs w:val="22"/>
          <w:lang w:val="fr-FR"/>
        </w:rPr>
        <w:t xml:space="preserve"> capacité de production et la qualité des noix, le projet travaillera à développer des incitations pour rénover et réhabiliter les </w:t>
      </w:r>
      <w:r w:rsidR="00BC7385" w:rsidRPr="002837A0">
        <w:rPr>
          <w:rStyle w:val="Heading2Char"/>
          <w:b w:val="0"/>
          <w:bCs w:val="0"/>
          <w:sz w:val="22"/>
          <w:szCs w:val="22"/>
          <w:lang w:val="fr-FR"/>
        </w:rPr>
        <w:t>plantations</w:t>
      </w:r>
      <w:r w:rsidRPr="002837A0">
        <w:rPr>
          <w:rStyle w:val="Heading2Char"/>
          <w:b w:val="0"/>
          <w:bCs w:val="0"/>
          <w:sz w:val="22"/>
          <w:szCs w:val="22"/>
          <w:lang w:val="fr-FR"/>
        </w:rPr>
        <w:t xml:space="preserve"> de noix de cajou et créer une noix de cajou </w:t>
      </w:r>
      <w:r w:rsidR="0000762F" w:rsidRPr="002837A0">
        <w:rPr>
          <w:rStyle w:val="Heading2Char"/>
          <w:b w:val="0"/>
          <w:bCs w:val="0"/>
          <w:sz w:val="22"/>
          <w:szCs w:val="22"/>
          <w:lang w:val="fr-FR"/>
        </w:rPr>
        <w:t xml:space="preserve">Ouest Africaine </w:t>
      </w:r>
      <w:r w:rsidRPr="002837A0">
        <w:rPr>
          <w:rStyle w:val="Heading2Char"/>
          <w:b w:val="0"/>
          <w:bCs w:val="0"/>
          <w:sz w:val="22"/>
          <w:szCs w:val="22"/>
          <w:lang w:val="fr-FR"/>
        </w:rPr>
        <w:t xml:space="preserve">plus compétitive pour le marché international. Plus précisément, PRO-Cashew mettra en œuvre des activités </w:t>
      </w:r>
      <w:r w:rsidR="00BC7385" w:rsidRPr="002837A0">
        <w:rPr>
          <w:rStyle w:val="Heading2Char"/>
          <w:b w:val="0"/>
          <w:bCs w:val="0"/>
          <w:sz w:val="22"/>
          <w:szCs w:val="22"/>
          <w:lang w:val="fr-FR"/>
        </w:rPr>
        <w:t>qui lui permettront</w:t>
      </w:r>
      <w:r w:rsidRPr="002837A0">
        <w:rPr>
          <w:rStyle w:val="Heading2Char"/>
          <w:b w:val="0"/>
          <w:bCs w:val="0"/>
          <w:sz w:val="22"/>
          <w:szCs w:val="22"/>
          <w:lang w:val="fr-FR"/>
        </w:rPr>
        <w:t xml:space="preserve"> </w:t>
      </w:r>
      <w:r w:rsidR="00BC7385" w:rsidRPr="002837A0">
        <w:rPr>
          <w:rStyle w:val="Heading2Char"/>
          <w:b w:val="0"/>
          <w:bCs w:val="0"/>
          <w:sz w:val="22"/>
          <w:szCs w:val="22"/>
          <w:lang w:val="fr-FR"/>
        </w:rPr>
        <w:t>d’</w:t>
      </w:r>
      <w:r w:rsidRPr="002837A0">
        <w:rPr>
          <w:rStyle w:val="Heading2Char"/>
          <w:b w:val="0"/>
          <w:bCs w:val="0"/>
          <w:sz w:val="22"/>
          <w:szCs w:val="22"/>
          <w:lang w:val="fr-FR"/>
        </w:rPr>
        <w:t xml:space="preserve">atteindre les principaux résultats, </w:t>
      </w:r>
      <w:r w:rsidR="00BC7385" w:rsidRPr="002837A0">
        <w:rPr>
          <w:rStyle w:val="Heading2Char"/>
          <w:b w:val="0"/>
          <w:bCs w:val="0"/>
          <w:sz w:val="22"/>
          <w:szCs w:val="22"/>
          <w:lang w:val="fr-FR"/>
        </w:rPr>
        <w:t>tels</w:t>
      </w:r>
      <w:r w:rsidRPr="002837A0">
        <w:rPr>
          <w:rStyle w:val="Heading2Char"/>
          <w:b w:val="0"/>
          <w:bCs w:val="0"/>
          <w:sz w:val="22"/>
          <w:szCs w:val="22"/>
          <w:lang w:val="fr-FR"/>
        </w:rPr>
        <w:t xml:space="preserve"> </w:t>
      </w:r>
      <w:r w:rsidR="00BC7385" w:rsidRPr="002837A0">
        <w:rPr>
          <w:rStyle w:val="Heading2Char"/>
          <w:b w:val="0"/>
          <w:bCs w:val="0"/>
          <w:sz w:val="22"/>
          <w:szCs w:val="22"/>
          <w:lang w:val="fr-FR"/>
        </w:rPr>
        <w:t>qu’</w:t>
      </w:r>
      <w:r w:rsidRPr="002837A0">
        <w:rPr>
          <w:rStyle w:val="Heading2Char"/>
          <w:b w:val="0"/>
          <w:bCs w:val="0"/>
          <w:sz w:val="22"/>
          <w:szCs w:val="22"/>
          <w:lang w:val="fr-FR"/>
        </w:rPr>
        <w:t>indiqué</w:t>
      </w:r>
      <w:r w:rsidR="00BC7385" w:rsidRPr="002837A0">
        <w:rPr>
          <w:rStyle w:val="Heading2Char"/>
          <w:b w:val="0"/>
          <w:bCs w:val="0"/>
          <w:sz w:val="22"/>
          <w:szCs w:val="22"/>
          <w:lang w:val="fr-FR"/>
        </w:rPr>
        <w:t>s</w:t>
      </w:r>
      <w:r w:rsidRPr="002837A0">
        <w:rPr>
          <w:rStyle w:val="Heading2Char"/>
          <w:b w:val="0"/>
          <w:bCs w:val="0"/>
          <w:sz w:val="22"/>
          <w:szCs w:val="22"/>
          <w:lang w:val="fr-FR"/>
        </w:rPr>
        <w:t xml:space="preserve"> ci-dessous:</w:t>
      </w:r>
    </w:p>
    <w:p w14:paraId="7DACB5F7" w14:textId="77777777" w:rsidR="00A90A30" w:rsidRPr="002837A0" w:rsidRDefault="00A90A30" w:rsidP="00A90A30">
      <w:pPr>
        <w:pBdr>
          <w:top w:val="nil"/>
          <w:left w:val="nil"/>
          <w:bottom w:val="nil"/>
          <w:right w:val="nil"/>
          <w:between w:val="nil"/>
        </w:pBdr>
        <w:suppressAutoHyphens w:val="0"/>
        <w:jc w:val="both"/>
        <w:rPr>
          <w:rStyle w:val="Heading2Char"/>
          <w:b w:val="0"/>
          <w:bCs w:val="0"/>
          <w:sz w:val="22"/>
          <w:szCs w:val="22"/>
          <w:lang w:val="fr-FR"/>
        </w:rPr>
      </w:pPr>
    </w:p>
    <w:p w14:paraId="6D22CD33" w14:textId="77777777" w:rsidR="0000762F" w:rsidRPr="002837A0" w:rsidRDefault="00A90A30" w:rsidP="00A90A30">
      <w:pPr>
        <w:pStyle w:val="ListParagraph"/>
        <w:numPr>
          <w:ilvl w:val="0"/>
          <w:numId w:val="24"/>
        </w:numPr>
        <w:pBdr>
          <w:top w:val="nil"/>
          <w:left w:val="nil"/>
          <w:bottom w:val="nil"/>
          <w:right w:val="nil"/>
          <w:between w:val="nil"/>
        </w:pBdr>
        <w:suppressAutoHyphens w:val="0"/>
        <w:jc w:val="both"/>
        <w:rPr>
          <w:rStyle w:val="Heading2Char"/>
          <w:b w:val="0"/>
          <w:bCs w:val="0"/>
          <w:sz w:val="22"/>
          <w:szCs w:val="22"/>
          <w:lang w:val="fr-FR"/>
        </w:rPr>
      </w:pPr>
      <w:r w:rsidRPr="002837A0">
        <w:rPr>
          <w:rStyle w:val="Heading2Char"/>
          <w:b w:val="0"/>
          <w:bCs w:val="0"/>
          <w:sz w:val="22"/>
          <w:szCs w:val="22"/>
          <w:lang w:val="fr-FR"/>
        </w:rPr>
        <w:t>Accroître la productivité et l'efficacité des agriculteurs dans la chaîne de valeur de la noix de cajou en améliorant la qualité des cultures; réhabiliter et rénover les vergers; renforcement des capacités des coopératives et des organisations de producteurs, des systèmes de pépinières et des fournisseurs d'intrants.</w:t>
      </w:r>
    </w:p>
    <w:p w14:paraId="7DF1F927" w14:textId="6B270B5F" w:rsidR="00A90A30" w:rsidRPr="002837A0" w:rsidRDefault="00A90A30" w:rsidP="00A90A30">
      <w:pPr>
        <w:pStyle w:val="ListParagraph"/>
        <w:numPr>
          <w:ilvl w:val="0"/>
          <w:numId w:val="24"/>
        </w:numPr>
        <w:pBdr>
          <w:top w:val="nil"/>
          <w:left w:val="nil"/>
          <w:bottom w:val="nil"/>
          <w:right w:val="nil"/>
          <w:between w:val="nil"/>
        </w:pBdr>
        <w:suppressAutoHyphens w:val="0"/>
        <w:jc w:val="both"/>
        <w:rPr>
          <w:rStyle w:val="Heading2Char"/>
          <w:b w:val="0"/>
          <w:bCs w:val="0"/>
          <w:sz w:val="22"/>
          <w:szCs w:val="22"/>
          <w:lang w:val="fr-FR"/>
        </w:rPr>
      </w:pPr>
      <w:r w:rsidRPr="002837A0">
        <w:rPr>
          <w:rStyle w:val="Heading2Char"/>
          <w:b w:val="0"/>
          <w:bCs w:val="0"/>
          <w:sz w:val="22"/>
          <w:szCs w:val="22"/>
          <w:lang w:val="fr-FR"/>
        </w:rPr>
        <w:t>Stimuler le commerce du cajou en améliorant les techniques de récolte et de post-récolte, en comblant les lacunes dans la collecte, l'analyse et la diffusion des données; soutenir les liens de la chaîne d'approvisionnement entre les agriculteurs et les entreprises agro-alimentaires et encourager les politiques régionales harmonisées axées sur le marché.</w:t>
      </w:r>
    </w:p>
    <w:p w14:paraId="5FB2A417" w14:textId="77777777" w:rsidR="00F02FB0" w:rsidRPr="002837A0" w:rsidRDefault="00F02FB0" w:rsidP="00F02FB0">
      <w:pPr>
        <w:pStyle w:val="ListParagraph"/>
        <w:pBdr>
          <w:top w:val="nil"/>
          <w:left w:val="nil"/>
          <w:bottom w:val="nil"/>
          <w:right w:val="nil"/>
          <w:between w:val="nil"/>
        </w:pBdr>
        <w:suppressAutoHyphens w:val="0"/>
        <w:ind w:left="567"/>
        <w:jc w:val="both"/>
        <w:rPr>
          <w:rStyle w:val="Heading2Char"/>
          <w:b w:val="0"/>
          <w:bCs w:val="0"/>
          <w:sz w:val="22"/>
          <w:szCs w:val="22"/>
          <w:lang w:val="fr-FR"/>
        </w:rPr>
      </w:pPr>
    </w:p>
    <w:p w14:paraId="7F34B885" w14:textId="77777777" w:rsidR="00CA590C" w:rsidRPr="002837A0" w:rsidRDefault="00CA590C" w:rsidP="00CA590C">
      <w:pPr>
        <w:ind w:right="-540"/>
        <w:jc w:val="both"/>
        <w:rPr>
          <w:b/>
          <w:sz w:val="22"/>
          <w:szCs w:val="22"/>
          <w:lang w:val="fr-FR"/>
        </w:rPr>
      </w:pPr>
      <w:r w:rsidRPr="002837A0">
        <w:rPr>
          <w:b/>
          <w:sz w:val="22"/>
          <w:szCs w:val="22"/>
          <w:lang w:val="fr-FR"/>
        </w:rPr>
        <w:t>IB. Description du programme de subventions</w:t>
      </w:r>
    </w:p>
    <w:p w14:paraId="2497BAE8" w14:textId="77777777" w:rsidR="00CA590C" w:rsidRPr="002837A0" w:rsidRDefault="00CA590C" w:rsidP="00CA590C">
      <w:pPr>
        <w:ind w:right="-540"/>
        <w:jc w:val="both"/>
        <w:rPr>
          <w:sz w:val="22"/>
          <w:szCs w:val="22"/>
          <w:lang w:val="fr-FR"/>
        </w:rPr>
      </w:pPr>
    </w:p>
    <w:p w14:paraId="6BEA2208" w14:textId="0188F2A2" w:rsidR="00CA590C" w:rsidRPr="002837A0" w:rsidRDefault="00CA590C" w:rsidP="00CA590C">
      <w:pPr>
        <w:ind w:right="-540"/>
        <w:jc w:val="both"/>
        <w:rPr>
          <w:sz w:val="22"/>
          <w:szCs w:val="22"/>
          <w:lang w:val="fr-FR"/>
        </w:rPr>
      </w:pPr>
      <w:r w:rsidRPr="002837A0">
        <w:rPr>
          <w:sz w:val="22"/>
          <w:szCs w:val="22"/>
          <w:lang w:val="fr-FR"/>
        </w:rPr>
        <w:t>PRO-Cashew cherche à engager des partenaires du secteur privé (acheteurs de noix de cajou, transformateurs de noix de cajou) pour tirer parti de la formation technique afin de renforcer les capacités des équipes de vulgarisation à renforcer les liens avec les petits agriculteurs. Les subventions de vulgarisation agricole soutiennent des activités de sous-projet clairement déterminées qui visent à améliorer les revenus des producteurs de noix de cajou en améliorant la production et la qualité des noix de cajou brutes (</w:t>
      </w:r>
      <w:r w:rsidR="00223050">
        <w:rPr>
          <w:sz w:val="22"/>
          <w:szCs w:val="22"/>
          <w:lang w:val="fr-FR"/>
        </w:rPr>
        <w:t>NCB</w:t>
      </w:r>
      <w:r w:rsidRPr="002837A0">
        <w:rPr>
          <w:sz w:val="22"/>
          <w:szCs w:val="22"/>
          <w:lang w:val="fr-FR"/>
        </w:rPr>
        <w:t>). Le fonds de contribution requis pour les bénéficiaires incite les partenaires privés (bénéficiaires) à établir des liens solides entre les acheteurs, les transformateurs et les agriculteurs, conduisant à des relations à long terme entre les transformateurs et les agriculteurs qui les fournissent.</w:t>
      </w:r>
    </w:p>
    <w:p w14:paraId="51D39CC8" w14:textId="77777777" w:rsidR="00CD0F5A" w:rsidRDefault="00CD0F5A" w:rsidP="00CA590C">
      <w:pPr>
        <w:ind w:right="-540"/>
        <w:jc w:val="both"/>
        <w:rPr>
          <w:sz w:val="22"/>
          <w:szCs w:val="22"/>
          <w:lang w:val="fr-FR"/>
        </w:rPr>
      </w:pPr>
    </w:p>
    <w:p w14:paraId="10287F40" w14:textId="068906B9" w:rsidR="00CA590C" w:rsidRPr="002837A0" w:rsidRDefault="00CA590C" w:rsidP="00CA590C">
      <w:pPr>
        <w:ind w:right="-540"/>
        <w:jc w:val="both"/>
        <w:rPr>
          <w:sz w:val="22"/>
          <w:szCs w:val="22"/>
          <w:lang w:val="fr-FR"/>
        </w:rPr>
      </w:pPr>
      <w:r w:rsidRPr="002837A0">
        <w:rPr>
          <w:sz w:val="22"/>
          <w:szCs w:val="22"/>
          <w:lang w:val="fr-FR"/>
        </w:rPr>
        <w:t>Les subventions permettront de combler les lacunes en matière de connaissances et de services afin de renforcer les services de vulgarisation fournis aux entreprises de transformation de la noix de cajou et aux exportateurs de NCB. Plus précisément:</w:t>
      </w:r>
    </w:p>
    <w:p w14:paraId="3170C837" w14:textId="77777777" w:rsidR="00CD0F5A" w:rsidRDefault="00CD0F5A" w:rsidP="00CA590C">
      <w:pPr>
        <w:ind w:left="720" w:right="-540"/>
        <w:jc w:val="both"/>
        <w:rPr>
          <w:b/>
          <w:sz w:val="22"/>
          <w:szCs w:val="22"/>
          <w:lang w:val="fr-FR"/>
        </w:rPr>
      </w:pPr>
    </w:p>
    <w:p w14:paraId="1205650D" w14:textId="3E3279A0" w:rsidR="00095E19" w:rsidRPr="002837A0" w:rsidRDefault="00CA590C" w:rsidP="00CA590C">
      <w:pPr>
        <w:ind w:left="720" w:right="-540"/>
        <w:jc w:val="both"/>
        <w:rPr>
          <w:sz w:val="22"/>
          <w:szCs w:val="22"/>
          <w:lang w:val="fr-FR"/>
        </w:rPr>
      </w:pPr>
      <w:r w:rsidRPr="002837A0">
        <w:rPr>
          <w:b/>
          <w:sz w:val="22"/>
          <w:szCs w:val="22"/>
          <w:lang w:val="fr-FR"/>
        </w:rPr>
        <w:t>Les subventions de vulgarisation agricole</w:t>
      </w:r>
      <w:r w:rsidRPr="002837A0">
        <w:rPr>
          <w:sz w:val="22"/>
          <w:szCs w:val="22"/>
          <w:lang w:val="fr-FR"/>
        </w:rPr>
        <w:t xml:space="preserve"> aideront à couvrir le coût de l'ajout de ressources humaines pour élargir les services de vulgarisation fournis par les entreprises de transformation de la noix de cajou et les gros acheteurs de </w:t>
      </w:r>
      <w:r w:rsidR="00240A6D" w:rsidRPr="002837A0">
        <w:rPr>
          <w:sz w:val="22"/>
          <w:szCs w:val="22"/>
          <w:lang w:val="fr-FR"/>
        </w:rPr>
        <w:t>NCB</w:t>
      </w:r>
      <w:r w:rsidRPr="002837A0">
        <w:rPr>
          <w:sz w:val="22"/>
          <w:szCs w:val="22"/>
          <w:lang w:val="fr-FR"/>
        </w:rPr>
        <w:t xml:space="preserve">. Idéalement, les bénéficiaires recruteront et géreront le personnel de vulgarisation. Le coût des ressources humaines peut être partiellement couvert par PRO-Cashew lors de la soumission des rapports d'activités, conformément au budget convenu. Les subventions </w:t>
      </w:r>
      <w:r w:rsidR="00240A6D" w:rsidRPr="002837A0">
        <w:rPr>
          <w:sz w:val="22"/>
          <w:szCs w:val="22"/>
          <w:lang w:val="fr-FR"/>
        </w:rPr>
        <w:t xml:space="preserve">de vulgarisation </w:t>
      </w:r>
      <w:r w:rsidRPr="002837A0">
        <w:rPr>
          <w:sz w:val="22"/>
          <w:szCs w:val="22"/>
          <w:lang w:val="fr-FR"/>
        </w:rPr>
        <w:t xml:space="preserve">renforceront les liens avec les petits exploitants agricoles. PRO-Cashew prévoit que le renforcement des relations et l'amélioration de l'accès à la </w:t>
      </w:r>
      <w:r w:rsidR="00240A6D" w:rsidRPr="002837A0">
        <w:rPr>
          <w:sz w:val="22"/>
          <w:szCs w:val="22"/>
          <w:lang w:val="fr-FR"/>
        </w:rPr>
        <w:t>NCB</w:t>
      </w:r>
      <w:r w:rsidRPr="002837A0">
        <w:rPr>
          <w:sz w:val="22"/>
          <w:szCs w:val="22"/>
          <w:lang w:val="fr-FR"/>
        </w:rPr>
        <w:t xml:space="preserve"> inciteront les partenaires de mise en œuvre à conserver le personnel de vulgarisation une fois </w:t>
      </w:r>
      <w:r w:rsidR="00223050">
        <w:rPr>
          <w:sz w:val="22"/>
          <w:szCs w:val="22"/>
          <w:lang w:val="fr-FR"/>
        </w:rPr>
        <w:t xml:space="preserve">que </w:t>
      </w:r>
      <w:r w:rsidR="00240A6D" w:rsidRPr="002837A0">
        <w:rPr>
          <w:sz w:val="22"/>
          <w:szCs w:val="22"/>
          <w:lang w:val="fr-FR"/>
        </w:rPr>
        <w:t>l’appui au</w:t>
      </w:r>
      <w:r w:rsidRPr="002837A0">
        <w:rPr>
          <w:sz w:val="22"/>
          <w:szCs w:val="22"/>
          <w:lang w:val="fr-FR"/>
        </w:rPr>
        <w:t xml:space="preserve"> programme </w:t>
      </w:r>
      <w:r w:rsidR="00240A6D" w:rsidRPr="002837A0">
        <w:rPr>
          <w:sz w:val="22"/>
          <w:szCs w:val="22"/>
          <w:lang w:val="fr-FR"/>
        </w:rPr>
        <w:t>prend fin</w:t>
      </w:r>
      <w:r w:rsidRPr="002837A0">
        <w:rPr>
          <w:sz w:val="22"/>
          <w:szCs w:val="22"/>
          <w:lang w:val="fr-FR"/>
        </w:rPr>
        <w:t xml:space="preserve">. Ces subventions </w:t>
      </w:r>
      <w:r w:rsidR="00FA206B" w:rsidRPr="002837A0">
        <w:rPr>
          <w:sz w:val="22"/>
          <w:szCs w:val="22"/>
          <w:lang w:val="fr-FR"/>
        </w:rPr>
        <w:t>permettront d’optimiser</w:t>
      </w:r>
      <w:r w:rsidRPr="002837A0">
        <w:rPr>
          <w:sz w:val="22"/>
          <w:szCs w:val="22"/>
          <w:lang w:val="fr-FR"/>
        </w:rPr>
        <w:t xml:space="preserve"> la formation technique pour renforcer la capacité des équipes de vulgarisation à former les agriculteurs aux BPA et à la R&amp;R, aux techniques de récolte et post-récolte, et aux concepts de gestion.</w:t>
      </w:r>
    </w:p>
    <w:p w14:paraId="60498EE6" w14:textId="77777777" w:rsidR="00CD0F5A" w:rsidRDefault="00CD0F5A" w:rsidP="00FA206B">
      <w:pPr>
        <w:pStyle w:val="NormalWeb"/>
        <w:jc w:val="both"/>
        <w:rPr>
          <w:rFonts w:eastAsiaTheme="minorHAnsi"/>
          <w:sz w:val="22"/>
          <w:szCs w:val="22"/>
          <w:lang w:val="fr-FR" w:eastAsia="en-US"/>
        </w:rPr>
      </w:pPr>
    </w:p>
    <w:p w14:paraId="392C0351" w14:textId="4EBDBEB2" w:rsidR="00FA206B" w:rsidRPr="002837A0" w:rsidRDefault="00FA206B" w:rsidP="00FA206B">
      <w:pPr>
        <w:pStyle w:val="NormalWeb"/>
        <w:jc w:val="both"/>
        <w:rPr>
          <w:rFonts w:eastAsiaTheme="minorHAnsi"/>
          <w:sz w:val="22"/>
          <w:szCs w:val="22"/>
          <w:lang w:val="fr-FR" w:eastAsia="en-US"/>
        </w:rPr>
      </w:pPr>
      <w:r w:rsidRPr="002837A0">
        <w:rPr>
          <w:rFonts w:eastAsiaTheme="minorHAnsi"/>
          <w:sz w:val="22"/>
          <w:szCs w:val="22"/>
          <w:lang w:val="fr-FR" w:eastAsia="en-US"/>
        </w:rPr>
        <w:t xml:space="preserve">La contribution du bénéficiaire au titre des subventions de vulgarisation agricole est d'un minimum de 1: 1. La contribution plafond des fonds de l'USDA au titre de ces subventions est de 200 000 $ / subvention. </w:t>
      </w:r>
      <w:r w:rsidR="00BB0A57" w:rsidRPr="002837A0">
        <w:rPr>
          <w:rFonts w:eastAsiaTheme="minorHAnsi"/>
          <w:sz w:val="22"/>
          <w:szCs w:val="22"/>
          <w:lang w:val="fr-FR" w:eastAsia="en-US"/>
        </w:rPr>
        <w:t>CNFA</w:t>
      </w:r>
      <w:r w:rsidRPr="002837A0">
        <w:rPr>
          <w:rFonts w:eastAsiaTheme="minorHAnsi"/>
          <w:sz w:val="22"/>
          <w:szCs w:val="22"/>
          <w:lang w:val="fr-FR" w:eastAsia="en-US"/>
        </w:rPr>
        <w:t xml:space="preserve"> prévoit d'octroyer au moins huit subventions de vulgarisation agricole pendant la durée du programme.</w:t>
      </w:r>
    </w:p>
    <w:p w14:paraId="7B332D1A" w14:textId="08A1555D" w:rsidR="00132E97" w:rsidRPr="002837A0" w:rsidRDefault="00FA206B" w:rsidP="00BE665A">
      <w:pPr>
        <w:pStyle w:val="NormalWeb"/>
        <w:jc w:val="both"/>
        <w:rPr>
          <w:rFonts w:eastAsiaTheme="minorHAnsi"/>
          <w:i/>
          <w:sz w:val="22"/>
          <w:szCs w:val="22"/>
          <w:lang w:val="fr-FR" w:eastAsia="en-US"/>
        </w:rPr>
      </w:pPr>
      <w:r w:rsidRPr="002837A0">
        <w:rPr>
          <w:rFonts w:eastAsiaTheme="minorHAnsi"/>
          <w:i/>
          <w:sz w:val="22"/>
          <w:szCs w:val="22"/>
          <w:lang w:val="fr-FR" w:eastAsia="en-US"/>
        </w:rPr>
        <w:t>Les candidats sont encouragés à proposer des budgets de subventions pleinement justifiés. Seules les demandes complètes et celles ayant le plus grand impact sur les agriculteurs se verront attribuer des montants de subvention maximum.</w:t>
      </w:r>
      <w:r w:rsidR="00E44189" w:rsidRPr="002837A0">
        <w:rPr>
          <w:sz w:val="22"/>
          <w:szCs w:val="22"/>
          <w:lang w:val="fr-FR"/>
        </w:rPr>
        <w:t xml:space="preserve"> </w:t>
      </w:r>
    </w:p>
    <w:p w14:paraId="44E0826D" w14:textId="3D7BFDA1" w:rsidR="00FA206B" w:rsidRPr="002837A0" w:rsidRDefault="00FA206B" w:rsidP="00FA206B">
      <w:pPr>
        <w:ind w:right="-540"/>
        <w:jc w:val="both"/>
        <w:rPr>
          <w:b/>
          <w:sz w:val="22"/>
          <w:szCs w:val="22"/>
          <w:lang w:val="fr-FR"/>
        </w:rPr>
      </w:pPr>
      <w:r w:rsidRPr="002837A0">
        <w:rPr>
          <w:b/>
          <w:sz w:val="22"/>
          <w:szCs w:val="22"/>
          <w:lang w:val="fr-FR"/>
        </w:rPr>
        <w:t xml:space="preserve">IC. </w:t>
      </w:r>
      <w:r w:rsidR="00BE665A" w:rsidRPr="002837A0">
        <w:rPr>
          <w:b/>
          <w:sz w:val="22"/>
          <w:szCs w:val="22"/>
          <w:lang w:val="fr-FR"/>
        </w:rPr>
        <w:t xml:space="preserve">Les théories du développement sur le changement </w:t>
      </w:r>
    </w:p>
    <w:p w14:paraId="73F87546" w14:textId="77777777" w:rsidR="00FA206B" w:rsidRPr="002837A0" w:rsidRDefault="00FA206B" w:rsidP="00FA206B">
      <w:pPr>
        <w:ind w:right="-540"/>
        <w:jc w:val="both"/>
        <w:rPr>
          <w:sz w:val="22"/>
          <w:szCs w:val="22"/>
          <w:lang w:val="fr-FR"/>
        </w:rPr>
      </w:pPr>
    </w:p>
    <w:p w14:paraId="31DE8845" w14:textId="56DA3980" w:rsidR="00FA206B" w:rsidRPr="002837A0" w:rsidRDefault="00FA206B" w:rsidP="00FA206B">
      <w:pPr>
        <w:ind w:right="-540"/>
        <w:jc w:val="both"/>
        <w:rPr>
          <w:sz w:val="22"/>
          <w:szCs w:val="22"/>
          <w:lang w:val="fr-FR"/>
        </w:rPr>
      </w:pPr>
      <w:r w:rsidRPr="002837A0">
        <w:rPr>
          <w:sz w:val="22"/>
          <w:szCs w:val="22"/>
          <w:lang w:val="fr-FR"/>
        </w:rPr>
        <w:t>PRO-Cashew est à la recherche de grandes usines de transformation de noix de cajou avec lesquelles s'associer. L'objectif est de faire correspondre les investissements actuels et futurs des usines de transformation de la noix de cajou au reste de leur chaîne d'approvisionnement, en développant une relation commerciale avec les agriculteurs, les groupes organisés, les villages, les communautés ou les coopératives et les syndicats. Dans l'ensemble, l'objectif de ces relations est d'a</w:t>
      </w:r>
      <w:r w:rsidR="009238FA" w:rsidRPr="002837A0">
        <w:rPr>
          <w:sz w:val="22"/>
          <w:szCs w:val="22"/>
          <w:lang w:val="fr-FR"/>
        </w:rPr>
        <w:t xml:space="preserve">ccroitre </w:t>
      </w:r>
      <w:r w:rsidRPr="002837A0">
        <w:rPr>
          <w:sz w:val="22"/>
          <w:szCs w:val="22"/>
          <w:lang w:val="fr-FR"/>
        </w:rPr>
        <w:t xml:space="preserve">le commerce international entre les États-Unis et l'Afrique de l'Ouest. En raison des résultats de performance demandés par l'USDA, PRO-Cashew recherche des partenaires qui disposent d'un capital humain et financier pour entretenir des relations commerciales avec les agriculteurs: cela </w:t>
      </w:r>
      <w:r w:rsidR="009238FA" w:rsidRPr="002837A0">
        <w:rPr>
          <w:sz w:val="22"/>
          <w:szCs w:val="22"/>
          <w:lang w:val="fr-FR"/>
        </w:rPr>
        <w:t>requiert des usines</w:t>
      </w:r>
      <w:r w:rsidRPr="002837A0">
        <w:rPr>
          <w:sz w:val="22"/>
          <w:szCs w:val="22"/>
          <w:lang w:val="fr-FR"/>
        </w:rPr>
        <w:t xml:space="preserve"> </w:t>
      </w:r>
      <w:r w:rsidR="009238FA" w:rsidRPr="002837A0">
        <w:rPr>
          <w:sz w:val="22"/>
          <w:szCs w:val="22"/>
          <w:lang w:val="fr-FR"/>
        </w:rPr>
        <w:t>la</w:t>
      </w:r>
      <w:r w:rsidRPr="002837A0">
        <w:rPr>
          <w:sz w:val="22"/>
          <w:szCs w:val="22"/>
          <w:lang w:val="fr-FR"/>
        </w:rPr>
        <w:t xml:space="preserve"> transformation de la noix de cajou </w:t>
      </w:r>
      <w:r w:rsidR="009238FA" w:rsidRPr="002837A0">
        <w:rPr>
          <w:sz w:val="22"/>
          <w:szCs w:val="22"/>
          <w:lang w:val="fr-FR"/>
        </w:rPr>
        <w:t>et</w:t>
      </w:r>
      <w:r w:rsidRPr="002837A0">
        <w:rPr>
          <w:sz w:val="22"/>
          <w:szCs w:val="22"/>
          <w:lang w:val="fr-FR"/>
        </w:rPr>
        <w:t xml:space="preserve"> la capacité d'acheter </w:t>
      </w:r>
      <w:r w:rsidR="000D2A35" w:rsidRPr="002837A0">
        <w:rPr>
          <w:sz w:val="22"/>
          <w:szCs w:val="22"/>
          <w:lang w:val="fr-FR"/>
        </w:rPr>
        <w:t>la</w:t>
      </w:r>
      <w:r w:rsidR="009238FA" w:rsidRPr="002837A0">
        <w:rPr>
          <w:sz w:val="22"/>
          <w:szCs w:val="22"/>
          <w:lang w:val="fr-FR"/>
        </w:rPr>
        <w:t xml:space="preserve"> NCB aux agriculteurs</w:t>
      </w:r>
      <w:r w:rsidR="00BE665A" w:rsidRPr="002837A0">
        <w:rPr>
          <w:sz w:val="22"/>
          <w:szCs w:val="22"/>
          <w:lang w:val="fr-FR"/>
        </w:rPr>
        <w:t xml:space="preserve"> </w:t>
      </w:r>
      <w:r w:rsidR="009238FA" w:rsidRPr="002837A0">
        <w:rPr>
          <w:sz w:val="22"/>
          <w:szCs w:val="22"/>
          <w:lang w:val="fr-FR"/>
        </w:rPr>
        <w:t>aussi bien que</w:t>
      </w:r>
      <w:r w:rsidRPr="002837A0">
        <w:rPr>
          <w:sz w:val="22"/>
          <w:szCs w:val="22"/>
          <w:lang w:val="fr-FR"/>
        </w:rPr>
        <w:t xml:space="preserve"> l</w:t>
      </w:r>
      <w:r w:rsidR="009238FA" w:rsidRPr="002837A0">
        <w:rPr>
          <w:sz w:val="22"/>
          <w:szCs w:val="22"/>
          <w:lang w:val="fr-FR"/>
        </w:rPr>
        <w:t>a</w:t>
      </w:r>
      <w:r w:rsidRPr="002837A0">
        <w:rPr>
          <w:sz w:val="22"/>
          <w:szCs w:val="22"/>
          <w:lang w:val="fr-FR"/>
        </w:rPr>
        <w:t xml:space="preserve"> capacité d'accompagner les collectionneurs et les agents de formation toute l'année.</w:t>
      </w:r>
    </w:p>
    <w:p w14:paraId="0932721B" w14:textId="77777777" w:rsidR="00132E97" w:rsidRPr="002837A0" w:rsidRDefault="00132E97" w:rsidP="004B5D58">
      <w:pPr>
        <w:ind w:right="-540"/>
        <w:jc w:val="both"/>
        <w:rPr>
          <w:sz w:val="22"/>
          <w:szCs w:val="22"/>
          <w:lang w:val="fr-FR"/>
        </w:rPr>
      </w:pPr>
    </w:p>
    <w:p w14:paraId="0F6EB05D" w14:textId="2F889D55" w:rsidR="00D02E94" w:rsidRPr="002837A0" w:rsidRDefault="009238FA" w:rsidP="004B5D58">
      <w:pPr>
        <w:ind w:right="-540"/>
        <w:jc w:val="both"/>
        <w:rPr>
          <w:sz w:val="22"/>
          <w:szCs w:val="22"/>
          <w:lang w:val="fr-FR"/>
        </w:rPr>
      </w:pPr>
      <w:r w:rsidRPr="002837A0">
        <w:rPr>
          <w:sz w:val="22"/>
          <w:szCs w:val="22"/>
          <w:lang w:val="fr-FR"/>
        </w:rPr>
        <w:t>PRO-Cashew comprend que le changement ne se produit pas après un an de formation et de partenariat. Au fil du temps, au cours de trois années de développement de solides relations vendeur-acheteur et de confiance mutuelle, les deux parties devraient investir dans leur entreprise commune. Ce n'est qu'après cette période initiale que les agriculteurs investiront dans d</w:t>
      </w:r>
      <w:r w:rsidR="00E55319" w:rsidRPr="002837A0">
        <w:rPr>
          <w:sz w:val="22"/>
          <w:szCs w:val="22"/>
          <w:lang w:val="fr-FR"/>
        </w:rPr>
        <w:t>u meilleur</w:t>
      </w:r>
      <w:r w:rsidRPr="002837A0">
        <w:rPr>
          <w:sz w:val="22"/>
          <w:szCs w:val="22"/>
          <w:lang w:val="fr-FR"/>
        </w:rPr>
        <w:t xml:space="preserve"> matériel</w:t>
      </w:r>
      <w:r w:rsidR="00E55319" w:rsidRPr="002837A0">
        <w:rPr>
          <w:sz w:val="22"/>
          <w:szCs w:val="22"/>
          <w:lang w:val="fr-FR"/>
        </w:rPr>
        <w:t xml:space="preserve"> végétal</w:t>
      </w:r>
      <w:r w:rsidRPr="002837A0">
        <w:rPr>
          <w:sz w:val="22"/>
          <w:szCs w:val="22"/>
          <w:lang w:val="fr-FR"/>
        </w:rPr>
        <w:t>, du matériel d'élagage des vergers, des entrepôts, des machines de séchage et de tri, etc. Ce n'est qu'</w:t>
      </w:r>
      <w:r w:rsidR="00E55319" w:rsidRPr="002837A0">
        <w:rPr>
          <w:sz w:val="22"/>
          <w:szCs w:val="22"/>
          <w:lang w:val="fr-FR"/>
        </w:rPr>
        <w:t xml:space="preserve">en </w:t>
      </w:r>
      <w:r w:rsidRPr="002837A0">
        <w:rPr>
          <w:sz w:val="22"/>
          <w:szCs w:val="22"/>
          <w:lang w:val="fr-FR"/>
        </w:rPr>
        <w:t>compr</w:t>
      </w:r>
      <w:r w:rsidR="00E55319" w:rsidRPr="002837A0">
        <w:rPr>
          <w:sz w:val="22"/>
          <w:szCs w:val="22"/>
          <w:lang w:val="fr-FR"/>
        </w:rPr>
        <w:t xml:space="preserve">enant </w:t>
      </w:r>
      <w:r w:rsidRPr="002837A0">
        <w:rPr>
          <w:sz w:val="22"/>
          <w:szCs w:val="22"/>
          <w:lang w:val="fr-FR"/>
        </w:rPr>
        <w:t>qu'ils peuvent compter sur l'acheteur</w:t>
      </w:r>
      <w:r w:rsidR="00E55319" w:rsidRPr="002837A0">
        <w:rPr>
          <w:sz w:val="22"/>
          <w:szCs w:val="22"/>
          <w:lang w:val="fr-FR"/>
        </w:rPr>
        <w:t>,</w:t>
      </w:r>
      <w:r w:rsidRPr="002837A0">
        <w:rPr>
          <w:sz w:val="22"/>
          <w:szCs w:val="22"/>
          <w:lang w:val="fr-FR"/>
        </w:rPr>
        <w:t xml:space="preserve"> que les agriculteurs seront prêts à investir leur épargne et obtenir un prêt d'une institution financière pour générer des noix de cajou à plus forte valeur ajoutée pour leur partenaire, l'usine de transformation de la noix de cajou. À leur tour, les usines de transformation de la noix de cajou seront incitées à investir dans des entrepôts, des bâches, des sacs de jute et des machines de séchage et de tri / classement. Au fil des années, avec une mei</w:t>
      </w:r>
      <w:r w:rsidR="00481686" w:rsidRPr="002837A0">
        <w:rPr>
          <w:sz w:val="22"/>
          <w:szCs w:val="22"/>
          <w:lang w:val="fr-FR"/>
        </w:rPr>
        <w:t>lleure qualité des NCB</w:t>
      </w:r>
      <w:r w:rsidRPr="002837A0">
        <w:rPr>
          <w:sz w:val="22"/>
          <w:szCs w:val="22"/>
          <w:lang w:val="fr-FR"/>
        </w:rPr>
        <w:t xml:space="preserve"> </w:t>
      </w:r>
      <w:r w:rsidR="00544171" w:rsidRPr="002837A0">
        <w:rPr>
          <w:sz w:val="22"/>
          <w:szCs w:val="22"/>
          <w:lang w:val="fr-FR"/>
        </w:rPr>
        <w:t>se traduisant</w:t>
      </w:r>
      <w:r w:rsidRPr="002837A0">
        <w:rPr>
          <w:sz w:val="22"/>
          <w:szCs w:val="22"/>
          <w:lang w:val="fr-FR"/>
        </w:rPr>
        <w:t xml:space="preserve"> en une meilleure rentabilité, l'usine de transformation de la noix de </w:t>
      </w:r>
      <w:r w:rsidR="00481686" w:rsidRPr="002837A0">
        <w:rPr>
          <w:sz w:val="22"/>
          <w:szCs w:val="22"/>
          <w:lang w:val="fr-FR"/>
        </w:rPr>
        <w:t>cajou sera en mesure d'accroitre</w:t>
      </w:r>
      <w:r w:rsidRPr="002837A0">
        <w:rPr>
          <w:sz w:val="22"/>
          <w:szCs w:val="22"/>
          <w:lang w:val="fr-FR"/>
        </w:rPr>
        <w:t xml:space="preserve"> les avantages du partenariat, en soutenant les agriculteurs dans la rénovation de leur verger, en proposant des entrepôts et des centres d'équipement communs et </w:t>
      </w:r>
      <w:r w:rsidR="00481686" w:rsidRPr="002837A0">
        <w:rPr>
          <w:sz w:val="22"/>
          <w:szCs w:val="22"/>
          <w:lang w:val="fr-FR"/>
        </w:rPr>
        <w:t>en construisant des centres de</w:t>
      </w:r>
      <w:r w:rsidRPr="002837A0">
        <w:rPr>
          <w:sz w:val="22"/>
          <w:szCs w:val="22"/>
          <w:lang w:val="fr-FR"/>
        </w:rPr>
        <w:t xml:space="preserve"> santé et</w:t>
      </w:r>
      <w:r w:rsidR="00481686" w:rsidRPr="002837A0">
        <w:rPr>
          <w:sz w:val="22"/>
          <w:szCs w:val="22"/>
          <w:lang w:val="fr-FR"/>
        </w:rPr>
        <w:t xml:space="preserve"> des</w:t>
      </w:r>
      <w:r w:rsidRPr="002837A0">
        <w:rPr>
          <w:sz w:val="22"/>
          <w:szCs w:val="22"/>
          <w:lang w:val="fr-FR"/>
        </w:rPr>
        <w:t xml:space="preserve"> écoles communautaires.</w:t>
      </w:r>
    </w:p>
    <w:p w14:paraId="5E5B57A9" w14:textId="77777777" w:rsidR="00CD0F5A" w:rsidRDefault="00CD0F5A" w:rsidP="00107EF6">
      <w:pPr>
        <w:ind w:right="-540"/>
        <w:jc w:val="both"/>
        <w:rPr>
          <w:sz w:val="22"/>
          <w:szCs w:val="22"/>
          <w:lang w:val="fr-FR"/>
        </w:rPr>
      </w:pPr>
    </w:p>
    <w:p w14:paraId="3146B369" w14:textId="00FBFE67" w:rsidR="00107EF6" w:rsidRPr="002837A0" w:rsidRDefault="00107EF6" w:rsidP="00107EF6">
      <w:pPr>
        <w:ind w:right="-540"/>
        <w:jc w:val="both"/>
        <w:rPr>
          <w:sz w:val="22"/>
          <w:szCs w:val="22"/>
          <w:lang w:val="fr-FR"/>
        </w:rPr>
      </w:pPr>
      <w:r w:rsidRPr="002837A0">
        <w:rPr>
          <w:sz w:val="22"/>
          <w:szCs w:val="22"/>
          <w:lang w:val="fr-FR"/>
        </w:rPr>
        <w:t>Les subventions de vulgarisation agricole sont un produit catalytique. PRO-Cashew a l'intention de n'en attribuer que quelques-uns par pays. En créant du succès aussi bien au niveau de la ferme que de l'entreprise de transformation de la noix de cajou, les autres usines de transformation de la noix de cajou devraient suivre et créer leurs propres relations dans la chaîne d'approvisionnement.</w:t>
      </w:r>
    </w:p>
    <w:p w14:paraId="005D9858" w14:textId="77777777" w:rsidR="00107EF6" w:rsidRPr="002837A0" w:rsidRDefault="00107EF6" w:rsidP="00107EF6">
      <w:pPr>
        <w:ind w:right="-540"/>
        <w:jc w:val="both"/>
        <w:rPr>
          <w:sz w:val="22"/>
          <w:szCs w:val="22"/>
          <w:lang w:val="fr-FR"/>
        </w:rPr>
      </w:pPr>
    </w:p>
    <w:p w14:paraId="21AA093D" w14:textId="77777777" w:rsidR="00107EF6" w:rsidRPr="002837A0" w:rsidRDefault="00107EF6" w:rsidP="00107EF6">
      <w:pPr>
        <w:ind w:right="-540"/>
        <w:jc w:val="both"/>
        <w:rPr>
          <w:b/>
          <w:sz w:val="22"/>
          <w:szCs w:val="22"/>
          <w:lang w:val="fr-FR"/>
        </w:rPr>
      </w:pPr>
      <w:r w:rsidRPr="002837A0">
        <w:rPr>
          <w:b/>
          <w:sz w:val="22"/>
          <w:szCs w:val="22"/>
          <w:lang w:val="fr-FR"/>
        </w:rPr>
        <w:t>ID. Indicateurs de performance et résultats</w:t>
      </w:r>
    </w:p>
    <w:p w14:paraId="13313584" w14:textId="77777777" w:rsidR="00107EF6" w:rsidRPr="002837A0" w:rsidRDefault="00107EF6" w:rsidP="00107EF6">
      <w:pPr>
        <w:ind w:right="-540"/>
        <w:jc w:val="both"/>
        <w:rPr>
          <w:sz w:val="22"/>
          <w:szCs w:val="22"/>
          <w:lang w:val="fr-FR"/>
        </w:rPr>
      </w:pPr>
    </w:p>
    <w:p w14:paraId="689B5824" w14:textId="6F53029B" w:rsidR="00107EF6" w:rsidRPr="002837A0" w:rsidRDefault="00107EF6" w:rsidP="00107EF6">
      <w:pPr>
        <w:ind w:right="-540"/>
        <w:jc w:val="both"/>
        <w:rPr>
          <w:sz w:val="22"/>
          <w:szCs w:val="22"/>
          <w:lang w:val="fr-FR"/>
        </w:rPr>
      </w:pPr>
      <w:r w:rsidRPr="002837A0">
        <w:rPr>
          <w:sz w:val="22"/>
          <w:szCs w:val="22"/>
          <w:lang w:val="fr-FR"/>
        </w:rPr>
        <w:t>Les demandes approuvées dans le cadre du Fonds de subvention pour la vulgarisation agricole aboutiront:</w:t>
      </w:r>
    </w:p>
    <w:p w14:paraId="7983E65D" w14:textId="2DD79DE5" w:rsidR="00107EF6" w:rsidRPr="002837A0" w:rsidRDefault="00C80A7F" w:rsidP="00107EF6">
      <w:pPr>
        <w:pStyle w:val="ListParagraph"/>
        <w:numPr>
          <w:ilvl w:val="0"/>
          <w:numId w:val="25"/>
        </w:numPr>
        <w:ind w:right="-540"/>
        <w:jc w:val="both"/>
        <w:rPr>
          <w:sz w:val="22"/>
          <w:szCs w:val="22"/>
          <w:lang w:val="fr-FR"/>
        </w:rPr>
      </w:pPr>
      <w:r w:rsidRPr="002837A0">
        <w:rPr>
          <w:sz w:val="22"/>
          <w:szCs w:val="22"/>
          <w:lang w:val="fr-FR"/>
        </w:rPr>
        <w:t>A l</w:t>
      </w:r>
      <w:r w:rsidR="00107EF6" w:rsidRPr="002837A0">
        <w:rPr>
          <w:sz w:val="22"/>
          <w:szCs w:val="22"/>
          <w:lang w:val="fr-FR"/>
        </w:rPr>
        <w:t>’amélioration de la quantité des noix de cajou produites, mesurée par l'amélioration du rendement par arbre et par hectare</w:t>
      </w:r>
    </w:p>
    <w:p w14:paraId="52426312" w14:textId="713EC89B" w:rsidR="00107EF6" w:rsidRDefault="00C80A7F" w:rsidP="00107EF6">
      <w:pPr>
        <w:pStyle w:val="ListParagraph"/>
        <w:numPr>
          <w:ilvl w:val="0"/>
          <w:numId w:val="16"/>
        </w:numPr>
        <w:ind w:right="-540"/>
        <w:jc w:val="both"/>
        <w:rPr>
          <w:sz w:val="22"/>
          <w:szCs w:val="22"/>
          <w:lang w:val="fr-FR"/>
        </w:rPr>
      </w:pPr>
      <w:r w:rsidRPr="002837A0">
        <w:rPr>
          <w:sz w:val="22"/>
          <w:szCs w:val="22"/>
          <w:lang w:val="fr-FR"/>
        </w:rPr>
        <w:t>A l</w:t>
      </w:r>
      <w:r w:rsidR="00107EF6" w:rsidRPr="002837A0">
        <w:rPr>
          <w:sz w:val="22"/>
          <w:szCs w:val="22"/>
          <w:lang w:val="fr-FR"/>
        </w:rPr>
        <w:t>’amélioration de la qualité des noix de cajou vendues, mesurée en volume de KOR</w:t>
      </w:r>
    </w:p>
    <w:p w14:paraId="10A2E24A" w14:textId="32DCC078" w:rsidR="00CD0F5A" w:rsidRDefault="00CD0F5A" w:rsidP="00CD0F5A">
      <w:pPr>
        <w:ind w:right="-540"/>
        <w:jc w:val="both"/>
        <w:rPr>
          <w:sz w:val="22"/>
          <w:szCs w:val="22"/>
          <w:lang w:val="fr-FR"/>
        </w:rPr>
      </w:pPr>
    </w:p>
    <w:p w14:paraId="59D07896" w14:textId="2DAEE6CA" w:rsidR="00CD0F5A" w:rsidRDefault="00CD0F5A" w:rsidP="00CD0F5A">
      <w:pPr>
        <w:ind w:right="-540"/>
        <w:jc w:val="both"/>
        <w:rPr>
          <w:sz w:val="22"/>
          <w:szCs w:val="22"/>
          <w:lang w:val="fr-FR"/>
        </w:rPr>
      </w:pPr>
    </w:p>
    <w:p w14:paraId="29D8941F" w14:textId="77777777" w:rsidR="00CD0F5A" w:rsidRPr="00CD0F5A" w:rsidRDefault="00CD0F5A" w:rsidP="00CD0F5A">
      <w:pPr>
        <w:ind w:right="-540"/>
        <w:jc w:val="both"/>
        <w:rPr>
          <w:sz w:val="22"/>
          <w:szCs w:val="22"/>
          <w:lang w:val="fr-FR"/>
        </w:rPr>
      </w:pPr>
    </w:p>
    <w:p w14:paraId="419F6D71" w14:textId="2363623A" w:rsidR="00C80A7F" w:rsidRPr="002837A0" w:rsidRDefault="00C80A7F" w:rsidP="00107EF6">
      <w:pPr>
        <w:pStyle w:val="ListParagraph"/>
        <w:numPr>
          <w:ilvl w:val="0"/>
          <w:numId w:val="16"/>
        </w:numPr>
        <w:ind w:right="-540"/>
        <w:jc w:val="both"/>
        <w:rPr>
          <w:sz w:val="22"/>
          <w:szCs w:val="22"/>
          <w:lang w:val="fr-FR"/>
        </w:rPr>
      </w:pPr>
      <w:r w:rsidRPr="002837A0">
        <w:rPr>
          <w:sz w:val="22"/>
          <w:szCs w:val="22"/>
          <w:lang w:val="fr-FR"/>
        </w:rPr>
        <w:t>A l’a</w:t>
      </w:r>
      <w:r w:rsidR="00107EF6" w:rsidRPr="002837A0">
        <w:rPr>
          <w:sz w:val="22"/>
          <w:szCs w:val="22"/>
          <w:lang w:val="fr-FR"/>
        </w:rPr>
        <w:t>mélioration de la chaîne de valeur de la noix de cajou (chaîne d'approvisionnement durable) mesurée par le pourcentage du volume total de NCB vendu à l'usine de transformation de la noix de cajou par rapport à la production totale vendue par les agriculteurs sur le marché (amélioration chaque année)</w:t>
      </w:r>
    </w:p>
    <w:p w14:paraId="66A4F261" w14:textId="77777777" w:rsidR="00C80A7F" w:rsidRPr="002837A0" w:rsidRDefault="00C80A7F" w:rsidP="00107EF6">
      <w:pPr>
        <w:pStyle w:val="ListParagraph"/>
        <w:numPr>
          <w:ilvl w:val="0"/>
          <w:numId w:val="16"/>
        </w:numPr>
        <w:ind w:right="-540"/>
        <w:jc w:val="both"/>
        <w:rPr>
          <w:sz w:val="22"/>
          <w:szCs w:val="22"/>
          <w:lang w:val="fr-FR"/>
        </w:rPr>
      </w:pPr>
      <w:r w:rsidRPr="002837A0">
        <w:rPr>
          <w:sz w:val="22"/>
          <w:szCs w:val="22"/>
          <w:lang w:val="fr-FR"/>
        </w:rPr>
        <w:t>Au r</w:t>
      </w:r>
      <w:r w:rsidR="00107EF6" w:rsidRPr="002837A0">
        <w:rPr>
          <w:sz w:val="22"/>
          <w:szCs w:val="22"/>
          <w:lang w:val="fr-FR"/>
        </w:rPr>
        <w:t>enforcement du transfert de connaissances aux producteurs de noix de cajou mesuré par l'adoption de pratiques</w:t>
      </w:r>
    </w:p>
    <w:p w14:paraId="78542E66" w14:textId="77777777" w:rsidR="00C80A7F" w:rsidRPr="002837A0" w:rsidRDefault="00C80A7F" w:rsidP="00107EF6">
      <w:pPr>
        <w:pStyle w:val="ListParagraph"/>
        <w:numPr>
          <w:ilvl w:val="0"/>
          <w:numId w:val="16"/>
        </w:numPr>
        <w:ind w:right="-540"/>
        <w:jc w:val="both"/>
        <w:rPr>
          <w:sz w:val="22"/>
          <w:szCs w:val="22"/>
          <w:lang w:val="fr-FR"/>
        </w:rPr>
      </w:pPr>
      <w:r w:rsidRPr="002837A0">
        <w:rPr>
          <w:sz w:val="22"/>
          <w:szCs w:val="22"/>
          <w:lang w:val="fr-FR"/>
        </w:rPr>
        <w:t>A la mise en œuvre du s</w:t>
      </w:r>
      <w:r w:rsidR="00107EF6" w:rsidRPr="002837A0">
        <w:rPr>
          <w:sz w:val="22"/>
          <w:szCs w:val="22"/>
          <w:lang w:val="fr-FR"/>
        </w:rPr>
        <w:t xml:space="preserve">ystème de traçabilité </w:t>
      </w:r>
      <w:r w:rsidRPr="002837A0">
        <w:rPr>
          <w:sz w:val="22"/>
          <w:szCs w:val="22"/>
          <w:lang w:val="fr-FR"/>
        </w:rPr>
        <w:t>depuis</w:t>
      </w:r>
      <w:r w:rsidR="00107EF6" w:rsidRPr="002837A0">
        <w:rPr>
          <w:sz w:val="22"/>
          <w:szCs w:val="22"/>
          <w:lang w:val="fr-FR"/>
        </w:rPr>
        <w:t xml:space="preserve"> </w:t>
      </w:r>
      <w:r w:rsidRPr="002837A0">
        <w:rPr>
          <w:sz w:val="22"/>
          <w:szCs w:val="22"/>
          <w:lang w:val="fr-FR"/>
        </w:rPr>
        <w:t>la plantation</w:t>
      </w:r>
      <w:r w:rsidR="00107EF6" w:rsidRPr="002837A0">
        <w:rPr>
          <w:sz w:val="22"/>
          <w:szCs w:val="22"/>
          <w:lang w:val="fr-FR"/>
        </w:rPr>
        <w:t xml:space="preserve"> jusqu'à l'usine de transformation de noix de cajou</w:t>
      </w:r>
    </w:p>
    <w:p w14:paraId="11FF0409" w14:textId="77777777" w:rsidR="00C80A7F" w:rsidRPr="002837A0" w:rsidRDefault="00C80A7F" w:rsidP="00107EF6">
      <w:pPr>
        <w:pStyle w:val="ListParagraph"/>
        <w:numPr>
          <w:ilvl w:val="0"/>
          <w:numId w:val="16"/>
        </w:numPr>
        <w:ind w:right="-540"/>
        <w:jc w:val="both"/>
        <w:rPr>
          <w:sz w:val="22"/>
          <w:szCs w:val="22"/>
          <w:lang w:val="fr-FR"/>
        </w:rPr>
      </w:pPr>
      <w:r w:rsidRPr="002837A0">
        <w:rPr>
          <w:sz w:val="22"/>
          <w:szCs w:val="22"/>
          <w:lang w:val="fr-FR"/>
        </w:rPr>
        <w:t>A la c</w:t>
      </w:r>
      <w:r w:rsidR="00107EF6" w:rsidRPr="002837A0">
        <w:rPr>
          <w:sz w:val="22"/>
          <w:szCs w:val="22"/>
          <w:lang w:val="fr-FR"/>
        </w:rPr>
        <w:t>ollecte annuelle de données par les agriculteurs de toutes les informations pertinentes dans une base de données Excel</w:t>
      </w:r>
    </w:p>
    <w:p w14:paraId="5F55B294" w14:textId="77777777" w:rsidR="00C80A7F" w:rsidRPr="002837A0" w:rsidRDefault="00C80A7F" w:rsidP="00107EF6">
      <w:pPr>
        <w:pStyle w:val="ListParagraph"/>
        <w:numPr>
          <w:ilvl w:val="0"/>
          <w:numId w:val="16"/>
        </w:numPr>
        <w:ind w:right="-540"/>
        <w:jc w:val="both"/>
        <w:rPr>
          <w:sz w:val="22"/>
          <w:szCs w:val="22"/>
          <w:lang w:val="fr-FR"/>
        </w:rPr>
      </w:pPr>
      <w:r w:rsidRPr="002837A0">
        <w:rPr>
          <w:sz w:val="22"/>
          <w:szCs w:val="22"/>
          <w:lang w:val="fr-FR"/>
        </w:rPr>
        <w:t>A l’a</w:t>
      </w:r>
      <w:r w:rsidR="00107EF6" w:rsidRPr="002837A0">
        <w:rPr>
          <w:sz w:val="22"/>
          <w:szCs w:val="22"/>
          <w:lang w:val="fr-FR"/>
        </w:rPr>
        <w:t>mélioration de l'accès au financement pour les agriculteurs en raison du lien avec les usines de transformation de la noix de cajou et de leur meilleure visibilité auprès des parties prenantes, réduisant en partie le coût de la transaction</w:t>
      </w:r>
    </w:p>
    <w:p w14:paraId="6B308913" w14:textId="77777777" w:rsidR="00C80A7F" w:rsidRPr="002837A0" w:rsidRDefault="00C80A7F" w:rsidP="00107EF6">
      <w:pPr>
        <w:pStyle w:val="ListParagraph"/>
        <w:numPr>
          <w:ilvl w:val="0"/>
          <w:numId w:val="16"/>
        </w:numPr>
        <w:ind w:right="-540"/>
        <w:jc w:val="both"/>
        <w:rPr>
          <w:sz w:val="22"/>
          <w:szCs w:val="22"/>
          <w:lang w:val="fr-FR"/>
        </w:rPr>
      </w:pPr>
      <w:r w:rsidRPr="002837A0">
        <w:rPr>
          <w:sz w:val="22"/>
          <w:szCs w:val="22"/>
          <w:lang w:val="fr-FR"/>
        </w:rPr>
        <w:t>A la r</w:t>
      </w:r>
      <w:r w:rsidR="00107EF6" w:rsidRPr="002837A0">
        <w:rPr>
          <w:sz w:val="22"/>
          <w:szCs w:val="22"/>
          <w:lang w:val="fr-FR"/>
        </w:rPr>
        <w:t xml:space="preserve">éduction des coûts de transaction </w:t>
      </w:r>
      <w:r w:rsidRPr="002837A0">
        <w:rPr>
          <w:sz w:val="22"/>
          <w:szCs w:val="22"/>
          <w:lang w:val="fr-FR"/>
        </w:rPr>
        <w:t>et</w:t>
      </w:r>
      <w:r w:rsidR="00107EF6" w:rsidRPr="002837A0">
        <w:rPr>
          <w:sz w:val="22"/>
          <w:szCs w:val="22"/>
          <w:lang w:val="fr-FR"/>
        </w:rPr>
        <w:t xml:space="preserve"> des coûts des intermédiaires en raison du lien </w:t>
      </w:r>
      <w:r w:rsidRPr="002837A0">
        <w:rPr>
          <w:sz w:val="22"/>
          <w:szCs w:val="22"/>
          <w:lang w:val="fr-FR"/>
        </w:rPr>
        <w:t>renforcé</w:t>
      </w:r>
      <w:r w:rsidR="00107EF6" w:rsidRPr="002837A0">
        <w:rPr>
          <w:sz w:val="22"/>
          <w:szCs w:val="22"/>
          <w:lang w:val="fr-FR"/>
        </w:rPr>
        <w:t xml:space="preserve"> </w:t>
      </w:r>
      <w:r w:rsidRPr="002837A0">
        <w:rPr>
          <w:sz w:val="22"/>
          <w:szCs w:val="22"/>
          <w:lang w:val="fr-FR"/>
        </w:rPr>
        <w:t xml:space="preserve">entre les </w:t>
      </w:r>
      <w:r w:rsidR="00107EF6" w:rsidRPr="002837A0">
        <w:rPr>
          <w:sz w:val="22"/>
          <w:szCs w:val="22"/>
          <w:lang w:val="fr-FR"/>
        </w:rPr>
        <w:t>partenaires privés (non mesuré, simplement supposé en raison du lien entre les agriculteurs et la transformation de la noix de cajou)</w:t>
      </w:r>
    </w:p>
    <w:p w14:paraId="17C967DD" w14:textId="1EBCB296" w:rsidR="00A15A75" w:rsidRPr="002837A0" w:rsidRDefault="00C80A7F" w:rsidP="00107EF6">
      <w:pPr>
        <w:pStyle w:val="ListParagraph"/>
        <w:numPr>
          <w:ilvl w:val="0"/>
          <w:numId w:val="16"/>
        </w:numPr>
        <w:ind w:right="-540"/>
        <w:jc w:val="both"/>
        <w:rPr>
          <w:sz w:val="22"/>
          <w:szCs w:val="22"/>
          <w:lang w:val="fr-FR"/>
        </w:rPr>
      </w:pPr>
      <w:r w:rsidRPr="002837A0">
        <w:rPr>
          <w:sz w:val="22"/>
          <w:szCs w:val="22"/>
          <w:lang w:val="fr-FR"/>
        </w:rPr>
        <w:t>En des n</w:t>
      </w:r>
      <w:r w:rsidR="00107EF6" w:rsidRPr="002837A0">
        <w:rPr>
          <w:sz w:val="22"/>
          <w:szCs w:val="22"/>
          <w:lang w:val="fr-FR"/>
        </w:rPr>
        <w:t>ouveaux emplois créés par l'organisation paysanne (le cas échéant) et par l'usine de transformation de noix de cajou, liés aux agents de vulgarisation</w:t>
      </w:r>
    </w:p>
    <w:p w14:paraId="353A1242" w14:textId="77777777" w:rsidR="00CD0F5A" w:rsidRDefault="00CD0F5A" w:rsidP="004B5D58">
      <w:pPr>
        <w:ind w:right="-540"/>
        <w:jc w:val="both"/>
        <w:rPr>
          <w:sz w:val="22"/>
          <w:szCs w:val="22"/>
          <w:lang w:val="fr-FR"/>
        </w:rPr>
      </w:pPr>
    </w:p>
    <w:p w14:paraId="6CB12D9F" w14:textId="3170621F" w:rsidR="00A15A75" w:rsidRDefault="00C80A7F" w:rsidP="004B5D58">
      <w:pPr>
        <w:ind w:right="-540"/>
        <w:jc w:val="both"/>
        <w:rPr>
          <w:sz w:val="22"/>
          <w:szCs w:val="22"/>
          <w:lang w:val="fr-FR"/>
        </w:rPr>
      </w:pPr>
      <w:r w:rsidRPr="002837A0">
        <w:rPr>
          <w:sz w:val="22"/>
          <w:szCs w:val="22"/>
          <w:lang w:val="fr-FR"/>
        </w:rPr>
        <w:t xml:space="preserve">PRO-Cashew mesurera les indicateurs suivants comme preuve de l'amélioration des technologies et des pratiques, </w:t>
      </w:r>
      <w:r w:rsidR="00C33FD1" w:rsidRPr="002837A0">
        <w:rPr>
          <w:sz w:val="22"/>
          <w:szCs w:val="22"/>
          <w:lang w:val="fr-FR"/>
        </w:rPr>
        <w:t>pendant</w:t>
      </w:r>
      <w:r w:rsidRPr="002837A0">
        <w:rPr>
          <w:sz w:val="22"/>
          <w:szCs w:val="22"/>
          <w:lang w:val="fr-FR"/>
        </w:rPr>
        <w:t xml:space="preserve"> les 3 années de la subvention et les années suivantes, jusqu'à la fin du projet PRO-Cashew. Les bénéficiaires sélectionnés rendront compte de ces indicateurs de performance spécifiques sur une base semestrielle, le 1er janvier et le 1er juillet. </w:t>
      </w:r>
      <w:r w:rsidR="00C33FD1" w:rsidRPr="002837A0">
        <w:rPr>
          <w:sz w:val="22"/>
          <w:szCs w:val="22"/>
          <w:lang w:val="fr-FR"/>
        </w:rPr>
        <w:t>Veuillez vous</w:t>
      </w:r>
      <w:r w:rsidRPr="002837A0">
        <w:rPr>
          <w:sz w:val="22"/>
          <w:szCs w:val="22"/>
          <w:lang w:val="fr-FR"/>
        </w:rPr>
        <w:t xml:space="preserve"> référer au tableau de définition des indicateurs de performance dans la pièce jointe </w:t>
      </w:r>
      <w:r w:rsidR="00CD0F5A">
        <w:rPr>
          <w:sz w:val="22"/>
          <w:szCs w:val="22"/>
          <w:lang w:val="fr-FR"/>
        </w:rPr>
        <w:t>B</w:t>
      </w:r>
      <w:r w:rsidRPr="002837A0">
        <w:rPr>
          <w:sz w:val="22"/>
          <w:szCs w:val="22"/>
          <w:lang w:val="fr-FR"/>
        </w:rPr>
        <w:t xml:space="preserve"> pour plus de détails.</w:t>
      </w:r>
      <w:r w:rsidR="00CD0F5A">
        <w:rPr>
          <w:sz w:val="22"/>
          <w:szCs w:val="22"/>
          <w:lang w:val="fr-FR"/>
        </w:rPr>
        <w:t xml:space="preserve">  Un tableau sommaire se trouve à la prochaine page.</w:t>
      </w:r>
      <w:r w:rsidR="00E30BD5">
        <w:rPr>
          <w:sz w:val="22"/>
          <w:szCs w:val="22"/>
          <w:lang w:val="fr-FR"/>
        </w:rPr>
        <w:t xml:space="preserve">  La pièce jointe B donne un fichier Excel pour aider aux calculs. </w:t>
      </w:r>
      <w:r w:rsidR="00CD0F5A">
        <w:rPr>
          <w:sz w:val="22"/>
          <w:szCs w:val="22"/>
          <w:lang w:val="fr-FR"/>
        </w:rPr>
        <w:t xml:space="preserve"> </w:t>
      </w:r>
    </w:p>
    <w:p w14:paraId="60849CD0" w14:textId="5A80AE8E" w:rsidR="00CD0F5A" w:rsidRDefault="00CD0F5A" w:rsidP="004B5D58">
      <w:pPr>
        <w:ind w:right="-540"/>
        <w:jc w:val="both"/>
        <w:rPr>
          <w:sz w:val="22"/>
          <w:szCs w:val="22"/>
          <w:lang w:val="fr-FR"/>
        </w:rPr>
      </w:pPr>
    </w:p>
    <w:p w14:paraId="15B55302" w14:textId="683E29E6" w:rsidR="00CD0F5A" w:rsidRDefault="00CD0F5A" w:rsidP="004B5D58">
      <w:pPr>
        <w:ind w:right="-540"/>
        <w:jc w:val="both"/>
        <w:rPr>
          <w:sz w:val="22"/>
          <w:szCs w:val="22"/>
          <w:lang w:val="fr-FR"/>
        </w:rPr>
      </w:pPr>
    </w:p>
    <w:p w14:paraId="33DA42E8" w14:textId="57459CC4" w:rsidR="00CD0F5A" w:rsidRDefault="00CD0F5A" w:rsidP="004B5D58">
      <w:pPr>
        <w:ind w:right="-540"/>
        <w:jc w:val="both"/>
        <w:rPr>
          <w:sz w:val="22"/>
          <w:szCs w:val="22"/>
          <w:lang w:val="fr-FR"/>
        </w:rPr>
      </w:pPr>
    </w:p>
    <w:p w14:paraId="249BE6EB" w14:textId="0BF68570" w:rsidR="00CD0F5A" w:rsidRDefault="00CD0F5A" w:rsidP="004B5D58">
      <w:pPr>
        <w:ind w:right="-540"/>
        <w:jc w:val="both"/>
        <w:rPr>
          <w:sz w:val="22"/>
          <w:szCs w:val="22"/>
          <w:lang w:val="fr-FR"/>
        </w:rPr>
      </w:pPr>
    </w:p>
    <w:p w14:paraId="6097C871" w14:textId="77777777" w:rsidR="00CD0F5A" w:rsidRPr="002837A0" w:rsidRDefault="00CD0F5A" w:rsidP="00CD0F5A">
      <w:pPr>
        <w:pStyle w:val="NormalWeb"/>
        <w:jc w:val="both"/>
        <w:rPr>
          <w:b/>
          <w:bCs/>
          <w:sz w:val="22"/>
          <w:szCs w:val="22"/>
          <w:lang w:val="fr-FR"/>
        </w:rPr>
      </w:pPr>
      <w:r w:rsidRPr="002837A0">
        <w:rPr>
          <w:b/>
          <w:bCs/>
          <w:sz w:val="22"/>
          <w:szCs w:val="22"/>
          <w:lang w:val="fr-FR"/>
        </w:rPr>
        <w:t>IE. Autorité / Règlements applicables</w:t>
      </w:r>
    </w:p>
    <w:p w14:paraId="39F1735D" w14:textId="77777777" w:rsidR="00CD0F5A" w:rsidRPr="002837A0" w:rsidRDefault="00CD0F5A" w:rsidP="00CD0F5A">
      <w:pPr>
        <w:pStyle w:val="NormalWeb"/>
        <w:jc w:val="both"/>
        <w:rPr>
          <w:bCs/>
          <w:sz w:val="22"/>
          <w:szCs w:val="22"/>
          <w:lang w:val="fr-FR"/>
        </w:rPr>
      </w:pPr>
      <w:r w:rsidRPr="002837A0">
        <w:rPr>
          <w:bCs/>
          <w:sz w:val="22"/>
          <w:szCs w:val="22"/>
          <w:lang w:val="fr-FR"/>
        </w:rPr>
        <w:t xml:space="preserve">Les subventions de PRO-Cashew pour la vulgarisation agricole sont accordées en vertu de la Loi Américaine Régissant les Affaires Etrangères, du Code of </w:t>
      </w:r>
      <w:proofErr w:type="spellStart"/>
      <w:r w:rsidRPr="002837A0">
        <w:rPr>
          <w:bCs/>
          <w:sz w:val="22"/>
          <w:szCs w:val="22"/>
          <w:lang w:val="fr-FR"/>
        </w:rPr>
        <w:t>Federal</w:t>
      </w:r>
      <w:proofErr w:type="spellEnd"/>
      <w:r w:rsidRPr="002837A0">
        <w:rPr>
          <w:bCs/>
          <w:sz w:val="22"/>
          <w:szCs w:val="22"/>
          <w:lang w:val="fr-FR"/>
        </w:rPr>
        <w:t xml:space="preserve"> </w:t>
      </w:r>
      <w:proofErr w:type="spellStart"/>
      <w:r w:rsidRPr="002837A0">
        <w:rPr>
          <w:bCs/>
          <w:sz w:val="22"/>
          <w:szCs w:val="22"/>
          <w:lang w:val="fr-FR"/>
        </w:rPr>
        <w:t>Regulations</w:t>
      </w:r>
      <w:proofErr w:type="spellEnd"/>
      <w:r w:rsidRPr="002837A0">
        <w:rPr>
          <w:bCs/>
          <w:sz w:val="22"/>
          <w:szCs w:val="22"/>
          <w:lang w:val="fr-FR"/>
        </w:rPr>
        <w:t xml:space="preserve"> (CFR) (2 CFR 200), 2 CFR 400 et 7 CFR 1499. Les subventions administrées dans le cadre de PRO-Cashew respecteront également les termes du manuel des subventions de PRO-Cashew</w:t>
      </w:r>
      <w:r w:rsidRPr="002837A0">
        <w:rPr>
          <w:lang w:val="fr-FR"/>
        </w:rPr>
        <w:t xml:space="preserve"> </w:t>
      </w:r>
      <w:r w:rsidRPr="002837A0">
        <w:rPr>
          <w:bCs/>
          <w:sz w:val="22"/>
          <w:szCs w:val="22"/>
          <w:lang w:val="fr-FR"/>
        </w:rPr>
        <w:t>et des procédures connexes.</w:t>
      </w:r>
    </w:p>
    <w:p w14:paraId="7EE3883B" w14:textId="77777777" w:rsidR="00CD0F5A" w:rsidRPr="002837A0" w:rsidRDefault="00CD0F5A" w:rsidP="00CD0F5A">
      <w:pPr>
        <w:pStyle w:val="NormalWeb"/>
        <w:spacing w:before="0" w:beforeAutospacing="0"/>
        <w:jc w:val="both"/>
        <w:rPr>
          <w:bCs/>
          <w:sz w:val="22"/>
          <w:szCs w:val="22"/>
          <w:lang w:val="fr-FR"/>
        </w:rPr>
      </w:pPr>
      <w:r w:rsidRPr="002837A0">
        <w:rPr>
          <w:bCs/>
          <w:sz w:val="22"/>
          <w:szCs w:val="22"/>
          <w:lang w:val="fr-FR"/>
        </w:rPr>
        <w:t>PRO-Cashew est tenu de veiller à ce que tous les candidats qui reçoivent des fonds de subvention de l'USDA se conforment aux exigences énoncées dans le présent règlement, telles qu'elles s'appliquent aux conditions générales respectives des subventions individuelles. Dans le cadre du programme de subventions PRO-Cashew, l'USDA se réserve le droit, à tout moment, de mettre fin, en tout ou en partie, aux pouvoirs d'octroi des subventions PRO-Cashew ou à toute subvention en cours.</w:t>
      </w:r>
    </w:p>
    <w:p w14:paraId="0B69D8C8" w14:textId="76AE21E2" w:rsidR="00CD0F5A" w:rsidRDefault="00CD0F5A" w:rsidP="004B5D58">
      <w:pPr>
        <w:ind w:right="-540"/>
        <w:jc w:val="both"/>
        <w:rPr>
          <w:sz w:val="22"/>
          <w:szCs w:val="22"/>
          <w:lang w:val="fr-FR"/>
        </w:rPr>
      </w:pPr>
    </w:p>
    <w:p w14:paraId="1156C1E8" w14:textId="48599CD9" w:rsidR="00CD0F5A" w:rsidRDefault="00CD0F5A" w:rsidP="004B5D58">
      <w:pPr>
        <w:ind w:right="-540"/>
        <w:jc w:val="both"/>
        <w:rPr>
          <w:sz w:val="22"/>
          <w:szCs w:val="22"/>
          <w:lang w:val="fr-FR"/>
        </w:rPr>
      </w:pPr>
    </w:p>
    <w:p w14:paraId="30E31A2F" w14:textId="13703F64" w:rsidR="00CD0F5A" w:rsidRDefault="00CD0F5A" w:rsidP="004B5D58">
      <w:pPr>
        <w:ind w:right="-540"/>
        <w:jc w:val="both"/>
        <w:rPr>
          <w:sz w:val="22"/>
          <w:szCs w:val="22"/>
          <w:lang w:val="fr-FR"/>
        </w:rPr>
      </w:pPr>
    </w:p>
    <w:p w14:paraId="543C8949" w14:textId="316BAAEF" w:rsidR="00CD0F5A" w:rsidRDefault="00CD0F5A" w:rsidP="004B5D58">
      <w:pPr>
        <w:ind w:right="-540"/>
        <w:jc w:val="both"/>
        <w:rPr>
          <w:sz w:val="22"/>
          <w:szCs w:val="22"/>
          <w:lang w:val="fr-FR"/>
        </w:rPr>
      </w:pPr>
    </w:p>
    <w:p w14:paraId="0A895E81" w14:textId="52FB3FDF" w:rsidR="00CD0F5A" w:rsidRDefault="00CD0F5A" w:rsidP="004B5D58">
      <w:pPr>
        <w:ind w:right="-540"/>
        <w:jc w:val="both"/>
        <w:rPr>
          <w:sz w:val="22"/>
          <w:szCs w:val="22"/>
          <w:lang w:val="fr-FR"/>
        </w:rPr>
      </w:pPr>
    </w:p>
    <w:p w14:paraId="0BCE3305" w14:textId="0087F49A" w:rsidR="00CD0F5A" w:rsidRDefault="00CD0F5A" w:rsidP="004B5D58">
      <w:pPr>
        <w:ind w:right="-540"/>
        <w:jc w:val="both"/>
        <w:rPr>
          <w:sz w:val="22"/>
          <w:szCs w:val="22"/>
          <w:lang w:val="fr-FR"/>
        </w:rPr>
      </w:pPr>
    </w:p>
    <w:p w14:paraId="7ABF6ABE" w14:textId="1C6F0113" w:rsidR="00CD0F5A" w:rsidRDefault="00CD0F5A" w:rsidP="004B5D58">
      <w:pPr>
        <w:ind w:right="-540"/>
        <w:jc w:val="both"/>
        <w:rPr>
          <w:sz w:val="22"/>
          <w:szCs w:val="22"/>
          <w:lang w:val="fr-FR"/>
        </w:rPr>
      </w:pPr>
    </w:p>
    <w:p w14:paraId="6988F344" w14:textId="45E96ED7" w:rsidR="00CD0F5A" w:rsidRDefault="00CD0F5A" w:rsidP="004B5D58">
      <w:pPr>
        <w:ind w:right="-540"/>
        <w:jc w:val="both"/>
        <w:rPr>
          <w:sz w:val="22"/>
          <w:szCs w:val="22"/>
          <w:lang w:val="fr-FR"/>
        </w:rPr>
      </w:pPr>
    </w:p>
    <w:p w14:paraId="274E009A" w14:textId="7679ED42" w:rsidR="00CD0F5A" w:rsidRDefault="00CD0F5A" w:rsidP="004B5D58">
      <w:pPr>
        <w:ind w:right="-540"/>
        <w:jc w:val="both"/>
        <w:rPr>
          <w:sz w:val="22"/>
          <w:szCs w:val="22"/>
          <w:lang w:val="fr-FR"/>
        </w:rPr>
      </w:pPr>
    </w:p>
    <w:p w14:paraId="3E8FEA99" w14:textId="3227BF88" w:rsidR="00CD0F5A" w:rsidRDefault="00CD0F5A" w:rsidP="004B5D58">
      <w:pPr>
        <w:ind w:right="-540"/>
        <w:jc w:val="both"/>
        <w:rPr>
          <w:sz w:val="22"/>
          <w:szCs w:val="22"/>
          <w:lang w:val="fr-FR"/>
        </w:rPr>
      </w:pPr>
    </w:p>
    <w:p w14:paraId="39EB96FA" w14:textId="1E0BD51B" w:rsidR="00CD0F5A" w:rsidRDefault="00CD0F5A" w:rsidP="004B5D58">
      <w:pPr>
        <w:ind w:right="-540"/>
        <w:jc w:val="both"/>
        <w:rPr>
          <w:sz w:val="22"/>
          <w:szCs w:val="22"/>
          <w:lang w:val="fr-FR"/>
        </w:rPr>
      </w:pPr>
    </w:p>
    <w:p w14:paraId="6717945C" w14:textId="77777777" w:rsidR="00CD0F5A" w:rsidRPr="002837A0" w:rsidRDefault="00CD0F5A" w:rsidP="004B5D58">
      <w:pPr>
        <w:ind w:right="-540"/>
        <w:jc w:val="both"/>
        <w:rPr>
          <w:b/>
          <w:bCs/>
          <w:sz w:val="22"/>
          <w:szCs w:val="22"/>
          <w:lang w:val="fr-FR"/>
        </w:rPr>
      </w:pPr>
    </w:p>
    <w:tbl>
      <w:tblPr>
        <w:tblW w:w="11211" w:type="dxa"/>
        <w:tblInd w:w="-635" w:type="dxa"/>
        <w:tblLayout w:type="fixed"/>
        <w:tblLook w:val="04A0" w:firstRow="1" w:lastRow="0" w:firstColumn="1" w:lastColumn="0" w:noHBand="0" w:noVBand="1"/>
      </w:tblPr>
      <w:tblGrid>
        <w:gridCol w:w="5091"/>
        <w:gridCol w:w="990"/>
        <w:gridCol w:w="990"/>
        <w:gridCol w:w="990"/>
        <w:gridCol w:w="1080"/>
        <w:gridCol w:w="990"/>
        <w:gridCol w:w="1080"/>
      </w:tblGrid>
      <w:tr w:rsidR="00963A02" w:rsidRPr="00A46FB6" w14:paraId="16A6F101" w14:textId="77777777" w:rsidTr="00C33FD1">
        <w:trPr>
          <w:trHeight w:val="310"/>
        </w:trPr>
        <w:tc>
          <w:tcPr>
            <w:tcW w:w="5091" w:type="dxa"/>
            <w:vMerge w:val="restart"/>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5640DC2C" w14:textId="7FE41496" w:rsidR="00963A02" w:rsidRPr="00A46FB6" w:rsidRDefault="00C33FD1" w:rsidP="00A46FB6">
            <w:pPr>
              <w:pBdr>
                <w:top w:val="nil"/>
                <w:left w:val="nil"/>
                <w:bottom w:val="nil"/>
                <w:right w:val="nil"/>
                <w:between w:val="nil"/>
              </w:pBdr>
              <w:suppressAutoHyphens w:val="0"/>
              <w:spacing w:after="160"/>
              <w:jc w:val="center"/>
              <w:rPr>
                <w:b/>
                <w:bCs/>
                <w:color w:val="FFFFFF" w:themeColor="background1"/>
                <w:sz w:val="20"/>
              </w:rPr>
            </w:pPr>
            <w:r>
              <w:rPr>
                <w:b/>
                <w:bCs/>
                <w:color w:val="FFFFFF" w:themeColor="background1"/>
                <w:sz w:val="20"/>
              </w:rPr>
              <w:t>Indicateur de performance</w:t>
            </w:r>
          </w:p>
        </w:tc>
        <w:tc>
          <w:tcPr>
            <w:tcW w:w="990" w:type="dxa"/>
            <w:tcBorders>
              <w:top w:val="single" w:sz="4" w:space="0" w:color="auto"/>
              <w:left w:val="nil"/>
              <w:bottom w:val="single" w:sz="4" w:space="0" w:color="auto"/>
              <w:right w:val="single" w:sz="4" w:space="0" w:color="auto"/>
            </w:tcBorders>
            <w:shd w:val="clear" w:color="auto" w:fill="17365D" w:themeFill="text2" w:themeFillShade="BF"/>
          </w:tcPr>
          <w:p w14:paraId="084DAE71" w14:textId="09099D80" w:rsidR="00963A02" w:rsidRPr="00A46FB6" w:rsidRDefault="00963A02" w:rsidP="00C33FD1">
            <w:pPr>
              <w:pBdr>
                <w:top w:val="nil"/>
                <w:left w:val="nil"/>
                <w:bottom w:val="nil"/>
                <w:right w:val="nil"/>
                <w:between w:val="nil"/>
              </w:pBdr>
              <w:suppressAutoHyphens w:val="0"/>
              <w:spacing w:after="160"/>
              <w:jc w:val="center"/>
              <w:rPr>
                <w:b/>
                <w:bCs/>
                <w:color w:val="FFFFFF" w:themeColor="background1"/>
                <w:sz w:val="20"/>
              </w:rPr>
            </w:pPr>
            <w:r>
              <w:rPr>
                <w:b/>
                <w:bCs/>
                <w:color w:val="FFFFFF" w:themeColor="background1"/>
                <w:sz w:val="20"/>
              </w:rPr>
              <w:t>Base</w:t>
            </w:r>
            <w:r w:rsidR="00C33FD1">
              <w:rPr>
                <w:b/>
                <w:bCs/>
                <w:color w:val="FFFFFF" w:themeColor="background1"/>
                <w:sz w:val="20"/>
              </w:rPr>
              <w:t xml:space="preserve"> de référence</w:t>
            </w:r>
          </w:p>
        </w:tc>
        <w:tc>
          <w:tcPr>
            <w:tcW w:w="990"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114B5D4D" w14:textId="425DE914" w:rsidR="00963A02" w:rsidRPr="00A46FB6" w:rsidRDefault="00C33FD1" w:rsidP="00C33FD1">
            <w:pPr>
              <w:pBdr>
                <w:top w:val="nil"/>
                <w:left w:val="nil"/>
                <w:bottom w:val="nil"/>
                <w:right w:val="nil"/>
                <w:between w:val="nil"/>
              </w:pBdr>
              <w:suppressAutoHyphens w:val="0"/>
              <w:spacing w:after="160"/>
              <w:jc w:val="center"/>
              <w:rPr>
                <w:b/>
                <w:bCs/>
                <w:color w:val="FFFFFF" w:themeColor="background1"/>
                <w:sz w:val="20"/>
              </w:rPr>
            </w:pPr>
            <w:r>
              <w:rPr>
                <w:b/>
                <w:bCs/>
                <w:color w:val="FFFFFF" w:themeColor="background1"/>
                <w:sz w:val="20"/>
              </w:rPr>
              <w:t>Année</w:t>
            </w:r>
            <w:r w:rsidR="00963A02" w:rsidRPr="00A46FB6">
              <w:rPr>
                <w:b/>
                <w:bCs/>
                <w:color w:val="FFFFFF" w:themeColor="background1"/>
                <w:sz w:val="20"/>
              </w:rPr>
              <w:t xml:space="preserve"> </w:t>
            </w:r>
            <w:r w:rsidR="00963A02">
              <w:rPr>
                <w:b/>
                <w:bCs/>
                <w:color w:val="FFFFFF" w:themeColor="background1"/>
                <w:sz w:val="20"/>
              </w:rPr>
              <w:t>1</w:t>
            </w:r>
          </w:p>
        </w:tc>
        <w:tc>
          <w:tcPr>
            <w:tcW w:w="990" w:type="dxa"/>
            <w:tcBorders>
              <w:top w:val="single" w:sz="4" w:space="0" w:color="auto"/>
              <w:left w:val="nil"/>
              <w:bottom w:val="single" w:sz="4" w:space="0" w:color="auto"/>
              <w:right w:val="single" w:sz="4" w:space="0" w:color="auto"/>
            </w:tcBorders>
            <w:shd w:val="clear" w:color="auto" w:fill="17365D" w:themeFill="text2" w:themeFillShade="BF"/>
            <w:hideMark/>
          </w:tcPr>
          <w:p w14:paraId="13471A3C" w14:textId="3D14804C" w:rsidR="00963A02" w:rsidRPr="00A46FB6" w:rsidRDefault="00C33FD1" w:rsidP="00A46FB6">
            <w:pPr>
              <w:pBdr>
                <w:top w:val="nil"/>
                <w:left w:val="nil"/>
                <w:bottom w:val="nil"/>
                <w:right w:val="nil"/>
                <w:between w:val="nil"/>
              </w:pBdr>
              <w:suppressAutoHyphens w:val="0"/>
              <w:spacing w:after="160"/>
              <w:jc w:val="center"/>
              <w:rPr>
                <w:b/>
                <w:bCs/>
                <w:color w:val="FFFFFF" w:themeColor="background1"/>
                <w:sz w:val="20"/>
              </w:rPr>
            </w:pPr>
            <w:r>
              <w:rPr>
                <w:b/>
                <w:bCs/>
                <w:color w:val="FFFFFF" w:themeColor="background1"/>
                <w:sz w:val="20"/>
              </w:rPr>
              <w:t>Année</w:t>
            </w:r>
            <w:r w:rsidR="00963A02" w:rsidRPr="00A46FB6">
              <w:rPr>
                <w:b/>
                <w:bCs/>
                <w:color w:val="FFFFFF" w:themeColor="background1"/>
                <w:sz w:val="20"/>
              </w:rPr>
              <w:t xml:space="preserve"> </w:t>
            </w:r>
            <w:r w:rsidR="00963A02">
              <w:rPr>
                <w:b/>
                <w:bCs/>
                <w:color w:val="FFFFFF" w:themeColor="background1"/>
                <w:sz w:val="20"/>
              </w:rPr>
              <w:t>2</w:t>
            </w:r>
          </w:p>
        </w:tc>
        <w:tc>
          <w:tcPr>
            <w:tcW w:w="1080" w:type="dxa"/>
            <w:tcBorders>
              <w:top w:val="single" w:sz="4" w:space="0" w:color="auto"/>
              <w:left w:val="nil"/>
              <w:bottom w:val="single" w:sz="4" w:space="0" w:color="auto"/>
              <w:right w:val="single" w:sz="4" w:space="0" w:color="auto"/>
            </w:tcBorders>
            <w:shd w:val="clear" w:color="auto" w:fill="17365D" w:themeFill="text2" w:themeFillShade="BF"/>
            <w:hideMark/>
          </w:tcPr>
          <w:p w14:paraId="29C6194F" w14:textId="2519A4DD" w:rsidR="00963A02" w:rsidRPr="00A46FB6" w:rsidRDefault="00C33FD1" w:rsidP="00A46FB6">
            <w:pPr>
              <w:pBdr>
                <w:top w:val="nil"/>
                <w:left w:val="nil"/>
                <w:bottom w:val="nil"/>
                <w:right w:val="nil"/>
                <w:between w:val="nil"/>
              </w:pBdr>
              <w:suppressAutoHyphens w:val="0"/>
              <w:spacing w:after="160"/>
              <w:jc w:val="center"/>
              <w:rPr>
                <w:b/>
                <w:bCs/>
                <w:color w:val="FFFFFF" w:themeColor="background1"/>
                <w:sz w:val="20"/>
              </w:rPr>
            </w:pPr>
            <w:r>
              <w:rPr>
                <w:b/>
                <w:bCs/>
                <w:color w:val="FFFFFF" w:themeColor="background1"/>
                <w:sz w:val="20"/>
              </w:rPr>
              <w:t>Année</w:t>
            </w:r>
            <w:r w:rsidR="00963A02" w:rsidRPr="00A46FB6">
              <w:rPr>
                <w:b/>
                <w:bCs/>
                <w:color w:val="FFFFFF" w:themeColor="background1"/>
                <w:sz w:val="20"/>
              </w:rPr>
              <w:t xml:space="preserve"> </w:t>
            </w:r>
            <w:r w:rsidR="00963A02">
              <w:rPr>
                <w:b/>
                <w:bCs/>
                <w:color w:val="FFFFFF" w:themeColor="background1"/>
                <w:sz w:val="20"/>
              </w:rPr>
              <w:t>2</w:t>
            </w:r>
          </w:p>
        </w:tc>
        <w:tc>
          <w:tcPr>
            <w:tcW w:w="990" w:type="dxa"/>
            <w:tcBorders>
              <w:top w:val="single" w:sz="4" w:space="0" w:color="auto"/>
              <w:left w:val="nil"/>
              <w:bottom w:val="single" w:sz="4" w:space="0" w:color="auto"/>
              <w:right w:val="single" w:sz="4" w:space="0" w:color="auto"/>
            </w:tcBorders>
            <w:shd w:val="clear" w:color="auto" w:fill="17365D" w:themeFill="text2" w:themeFillShade="BF"/>
            <w:hideMark/>
          </w:tcPr>
          <w:p w14:paraId="2FC5B74E" w14:textId="3538626C" w:rsidR="00963A02" w:rsidRPr="00A46FB6" w:rsidRDefault="00C33FD1" w:rsidP="00A46FB6">
            <w:pPr>
              <w:pBdr>
                <w:top w:val="nil"/>
                <w:left w:val="nil"/>
                <w:bottom w:val="nil"/>
                <w:right w:val="nil"/>
                <w:between w:val="nil"/>
              </w:pBdr>
              <w:suppressAutoHyphens w:val="0"/>
              <w:spacing w:after="160"/>
              <w:jc w:val="center"/>
              <w:rPr>
                <w:b/>
                <w:bCs/>
                <w:color w:val="FFFFFF" w:themeColor="background1"/>
                <w:sz w:val="20"/>
              </w:rPr>
            </w:pPr>
            <w:r>
              <w:rPr>
                <w:b/>
                <w:bCs/>
                <w:color w:val="FFFFFF" w:themeColor="background1"/>
                <w:sz w:val="20"/>
              </w:rPr>
              <w:t>Année</w:t>
            </w:r>
            <w:r w:rsidR="00963A02" w:rsidRPr="00A46FB6">
              <w:rPr>
                <w:b/>
                <w:bCs/>
                <w:color w:val="FFFFFF" w:themeColor="background1"/>
                <w:sz w:val="20"/>
              </w:rPr>
              <w:t xml:space="preserve"> </w:t>
            </w:r>
            <w:r w:rsidR="00963A02">
              <w:rPr>
                <w:b/>
                <w:bCs/>
                <w:color w:val="FFFFFF" w:themeColor="background1"/>
                <w:sz w:val="20"/>
              </w:rPr>
              <w:t>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4F15E960" w14:textId="1307FC1F" w:rsidR="00963A02" w:rsidRPr="00A46FB6" w:rsidRDefault="00C33FD1" w:rsidP="00A46FB6">
            <w:pPr>
              <w:pBdr>
                <w:top w:val="nil"/>
                <w:left w:val="nil"/>
                <w:bottom w:val="nil"/>
                <w:right w:val="nil"/>
                <w:between w:val="nil"/>
              </w:pBdr>
              <w:shd w:val="clear" w:color="auto" w:fill="17365D" w:themeFill="text2" w:themeFillShade="BF"/>
              <w:suppressAutoHyphens w:val="0"/>
              <w:spacing w:after="160"/>
              <w:jc w:val="center"/>
              <w:rPr>
                <w:b/>
                <w:bCs/>
                <w:color w:val="FFFFFF" w:themeColor="background1"/>
                <w:sz w:val="20"/>
              </w:rPr>
            </w:pPr>
            <w:r>
              <w:rPr>
                <w:b/>
                <w:bCs/>
                <w:color w:val="FFFFFF" w:themeColor="background1"/>
                <w:sz w:val="20"/>
              </w:rPr>
              <w:t>Vie du Projet</w:t>
            </w:r>
          </w:p>
        </w:tc>
      </w:tr>
      <w:tr w:rsidR="00963A02" w:rsidRPr="00A46FB6" w14:paraId="3045F6CF" w14:textId="77777777" w:rsidTr="00C33FD1">
        <w:trPr>
          <w:trHeight w:val="512"/>
        </w:trPr>
        <w:tc>
          <w:tcPr>
            <w:tcW w:w="5091" w:type="dxa"/>
            <w:vMerge/>
            <w:tcBorders>
              <w:top w:val="nil"/>
              <w:left w:val="single" w:sz="4" w:space="0" w:color="auto"/>
              <w:bottom w:val="single" w:sz="4" w:space="0" w:color="auto"/>
              <w:right w:val="single" w:sz="4" w:space="0" w:color="auto"/>
            </w:tcBorders>
            <w:shd w:val="clear" w:color="auto" w:fill="17365D" w:themeFill="text2" w:themeFillShade="BF"/>
            <w:vAlign w:val="center"/>
            <w:hideMark/>
          </w:tcPr>
          <w:p w14:paraId="1D7860C6" w14:textId="77777777" w:rsidR="00963A02" w:rsidRPr="00A46FB6" w:rsidRDefault="00963A02" w:rsidP="00A46FB6">
            <w:pPr>
              <w:pBdr>
                <w:top w:val="nil"/>
                <w:left w:val="nil"/>
                <w:bottom w:val="nil"/>
                <w:right w:val="nil"/>
                <w:between w:val="nil"/>
              </w:pBdr>
              <w:suppressAutoHyphens w:val="0"/>
              <w:spacing w:after="160"/>
              <w:rPr>
                <w:b/>
                <w:bCs/>
                <w:color w:val="000000"/>
                <w:sz w:val="20"/>
              </w:rPr>
            </w:pPr>
          </w:p>
        </w:tc>
        <w:tc>
          <w:tcPr>
            <w:tcW w:w="990" w:type="dxa"/>
            <w:tcBorders>
              <w:top w:val="single" w:sz="4" w:space="0" w:color="auto"/>
              <w:left w:val="nil"/>
              <w:bottom w:val="single" w:sz="4" w:space="0" w:color="auto"/>
              <w:right w:val="single" w:sz="4" w:space="0" w:color="auto"/>
            </w:tcBorders>
            <w:shd w:val="clear" w:color="auto" w:fill="17365D" w:themeFill="text2" w:themeFillShade="BF"/>
          </w:tcPr>
          <w:p w14:paraId="184D95F7" w14:textId="61CC5937" w:rsidR="00963A02" w:rsidRPr="00A46FB6" w:rsidRDefault="003C75A7" w:rsidP="00A46FB6">
            <w:pPr>
              <w:pBdr>
                <w:top w:val="nil"/>
                <w:left w:val="nil"/>
                <w:bottom w:val="nil"/>
                <w:right w:val="nil"/>
                <w:between w:val="nil"/>
              </w:pBdr>
              <w:suppressAutoHyphens w:val="0"/>
              <w:spacing w:after="160"/>
              <w:jc w:val="center"/>
              <w:rPr>
                <w:b/>
                <w:bCs/>
                <w:color w:val="FFFFFF" w:themeColor="background1"/>
                <w:sz w:val="20"/>
              </w:rPr>
            </w:pPr>
            <w:r>
              <w:rPr>
                <w:b/>
                <w:bCs/>
                <w:color w:val="FFFFFF" w:themeColor="background1"/>
                <w:sz w:val="20"/>
              </w:rPr>
              <w:t>10/1/19 – 9/30/20</w:t>
            </w:r>
          </w:p>
        </w:tc>
        <w:tc>
          <w:tcPr>
            <w:tcW w:w="990" w:type="dxa"/>
            <w:tcBorders>
              <w:top w:val="nil"/>
              <w:left w:val="single" w:sz="4" w:space="0" w:color="auto"/>
              <w:bottom w:val="single" w:sz="4" w:space="0" w:color="auto"/>
              <w:right w:val="single" w:sz="4" w:space="0" w:color="auto"/>
            </w:tcBorders>
            <w:shd w:val="clear" w:color="auto" w:fill="17365D" w:themeFill="text2" w:themeFillShade="BF"/>
            <w:vAlign w:val="center"/>
            <w:hideMark/>
          </w:tcPr>
          <w:p w14:paraId="2E254241" w14:textId="10729F15" w:rsidR="00963A02" w:rsidRPr="00A46FB6" w:rsidRDefault="00963A02" w:rsidP="00A46FB6">
            <w:pPr>
              <w:pBdr>
                <w:top w:val="nil"/>
                <w:left w:val="nil"/>
                <w:bottom w:val="nil"/>
                <w:right w:val="nil"/>
                <w:between w:val="nil"/>
              </w:pBdr>
              <w:suppressAutoHyphens w:val="0"/>
              <w:spacing w:after="160"/>
              <w:jc w:val="center"/>
              <w:rPr>
                <w:b/>
                <w:bCs/>
                <w:color w:val="FFFFFF" w:themeColor="background1"/>
                <w:sz w:val="20"/>
              </w:rPr>
            </w:pPr>
            <w:r w:rsidRPr="00A46FB6">
              <w:rPr>
                <w:b/>
                <w:bCs/>
                <w:color w:val="FFFFFF" w:themeColor="background1"/>
                <w:sz w:val="20"/>
              </w:rPr>
              <w:t>10/1/20 – 9/30/21</w:t>
            </w:r>
          </w:p>
        </w:tc>
        <w:tc>
          <w:tcPr>
            <w:tcW w:w="990" w:type="dxa"/>
            <w:tcBorders>
              <w:top w:val="nil"/>
              <w:left w:val="nil"/>
              <w:bottom w:val="single" w:sz="4" w:space="0" w:color="auto"/>
              <w:right w:val="single" w:sz="4" w:space="0" w:color="auto"/>
            </w:tcBorders>
            <w:shd w:val="clear" w:color="auto" w:fill="17365D" w:themeFill="text2" w:themeFillShade="BF"/>
            <w:vAlign w:val="center"/>
            <w:hideMark/>
          </w:tcPr>
          <w:p w14:paraId="666B8589" w14:textId="77777777" w:rsidR="00963A02" w:rsidRPr="00A46FB6" w:rsidRDefault="00963A02" w:rsidP="00A46FB6">
            <w:pPr>
              <w:pBdr>
                <w:top w:val="nil"/>
                <w:left w:val="nil"/>
                <w:bottom w:val="nil"/>
                <w:right w:val="nil"/>
                <w:between w:val="nil"/>
              </w:pBdr>
              <w:suppressAutoHyphens w:val="0"/>
              <w:spacing w:after="160"/>
              <w:jc w:val="center"/>
              <w:rPr>
                <w:b/>
                <w:bCs/>
                <w:color w:val="FFFFFF" w:themeColor="background1"/>
                <w:sz w:val="20"/>
              </w:rPr>
            </w:pPr>
            <w:r w:rsidRPr="00A46FB6">
              <w:rPr>
                <w:b/>
                <w:bCs/>
                <w:color w:val="FFFFFF" w:themeColor="background1"/>
                <w:sz w:val="20"/>
              </w:rPr>
              <w:t>10/1/21 – 9/30/22</w:t>
            </w:r>
          </w:p>
        </w:tc>
        <w:tc>
          <w:tcPr>
            <w:tcW w:w="1080" w:type="dxa"/>
            <w:tcBorders>
              <w:top w:val="nil"/>
              <w:left w:val="nil"/>
              <w:bottom w:val="single" w:sz="4" w:space="0" w:color="auto"/>
              <w:right w:val="single" w:sz="4" w:space="0" w:color="auto"/>
            </w:tcBorders>
            <w:shd w:val="clear" w:color="auto" w:fill="17365D" w:themeFill="text2" w:themeFillShade="BF"/>
            <w:vAlign w:val="center"/>
            <w:hideMark/>
          </w:tcPr>
          <w:p w14:paraId="45EED560" w14:textId="77777777" w:rsidR="00963A02" w:rsidRPr="00A46FB6" w:rsidRDefault="00963A02" w:rsidP="00A46FB6">
            <w:pPr>
              <w:pBdr>
                <w:top w:val="nil"/>
                <w:left w:val="nil"/>
                <w:bottom w:val="nil"/>
                <w:right w:val="nil"/>
                <w:between w:val="nil"/>
              </w:pBdr>
              <w:suppressAutoHyphens w:val="0"/>
              <w:spacing w:after="160"/>
              <w:jc w:val="center"/>
              <w:rPr>
                <w:b/>
                <w:bCs/>
                <w:color w:val="FFFFFF" w:themeColor="background1"/>
                <w:sz w:val="20"/>
              </w:rPr>
            </w:pPr>
            <w:r w:rsidRPr="00A46FB6">
              <w:rPr>
                <w:b/>
                <w:bCs/>
                <w:color w:val="FFFFFF" w:themeColor="background1"/>
                <w:sz w:val="20"/>
              </w:rPr>
              <w:t>10/1/22 – 9/30/23</w:t>
            </w:r>
          </w:p>
        </w:tc>
        <w:tc>
          <w:tcPr>
            <w:tcW w:w="990" w:type="dxa"/>
            <w:tcBorders>
              <w:top w:val="nil"/>
              <w:left w:val="nil"/>
              <w:bottom w:val="single" w:sz="4" w:space="0" w:color="auto"/>
              <w:right w:val="single" w:sz="4" w:space="0" w:color="auto"/>
            </w:tcBorders>
            <w:shd w:val="clear" w:color="auto" w:fill="17365D" w:themeFill="text2" w:themeFillShade="BF"/>
            <w:vAlign w:val="center"/>
            <w:hideMark/>
          </w:tcPr>
          <w:p w14:paraId="767CA055" w14:textId="77777777" w:rsidR="00963A02" w:rsidRPr="00A46FB6" w:rsidRDefault="00963A02" w:rsidP="00A46FB6">
            <w:pPr>
              <w:pBdr>
                <w:top w:val="nil"/>
                <w:left w:val="nil"/>
                <w:bottom w:val="nil"/>
                <w:right w:val="nil"/>
                <w:between w:val="nil"/>
              </w:pBdr>
              <w:suppressAutoHyphens w:val="0"/>
              <w:spacing w:after="160"/>
              <w:jc w:val="center"/>
              <w:rPr>
                <w:b/>
                <w:bCs/>
                <w:color w:val="FFFFFF" w:themeColor="background1"/>
                <w:sz w:val="20"/>
              </w:rPr>
            </w:pPr>
            <w:r w:rsidRPr="00A46FB6">
              <w:rPr>
                <w:b/>
                <w:bCs/>
                <w:color w:val="FFFFFF" w:themeColor="background1"/>
                <w:sz w:val="20"/>
              </w:rPr>
              <w:t>10/1/23 – 9/30/24</w:t>
            </w:r>
          </w:p>
        </w:tc>
        <w:tc>
          <w:tcPr>
            <w:tcW w:w="1080" w:type="dxa"/>
            <w:vMerge/>
            <w:tcBorders>
              <w:top w:val="nil"/>
              <w:left w:val="single" w:sz="4" w:space="0" w:color="auto"/>
              <w:bottom w:val="single" w:sz="4" w:space="0" w:color="auto"/>
              <w:right w:val="single" w:sz="4" w:space="0" w:color="auto"/>
            </w:tcBorders>
            <w:shd w:val="clear" w:color="auto" w:fill="17365D" w:themeFill="text2" w:themeFillShade="BF"/>
            <w:vAlign w:val="center"/>
            <w:hideMark/>
          </w:tcPr>
          <w:p w14:paraId="261FE2A1" w14:textId="77777777" w:rsidR="00963A02" w:rsidRPr="00A46FB6" w:rsidRDefault="00963A02" w:rsidP="00A46FB6">
            <w:pPr>
              <w:pBdr>
                <w:top w:val="nil"/>
                <w:left w:val="nil"/>
                <w:bottom w:val="nil"/>
                <w:right w:val="nil"/>
                <w:between w:val="nil"/>
              </w:pBdr>
              <w:suppressAutoHyphens w:val="0"/>
              <w:spacing w:after="160"/>
              <w:jc w:val="center"/>
              <w:rPr>
                <w:b/>
                <w:bCs/>
                <w:color w:val="000000"/>
                <w:sz w:val="20"/>
              </w:rPr>
            </w:pPr>
          </w:p>
        </w:tc>
      </w:tr>
      <w:tr w:rsidR="00963A02" w:rsidRPr="00CD0F5A" w14:paraId="07D5A099" w14:textId="77777777" w:rsidTr="00C33FD1">
        <w:trPr>
          <w:trHeight w:val="547"/>
        </w:trPr>
        <w:tc>
          <w:tcPr>
            <w:tcW w:w="5091" w:type="dxa"/>
            <w:tcBorders>
              <w:top w:val="nil"/>
              <w:left w:val="single" w:sz="4" w:space="0" w:color="auto"/>
              <w:bottom w:val="single" w:sz="4" w:space="0" w:color="auto"/>
              <w:right w:val="single" w:sz="4" w:space="0" w:color="auto"/>
            </w:tcBorders>
            <w:shd w:val="clear" w:color="000000" w:fill="FFFFFF"/>
            <w:vAlign w:val="bottom"/>
            <w:hideMark/>
          </w:tcPr>
          <w:p w14:paraId="071A1F25" w14:textId="15705D0E" w:rsidR="004B2058" w:rsidRPr="002837A0" w:rsidRDefault="004B2058" w:rsidP="00A46FB6">
            <w:pPr>
              <w:pBdr>
                <w:top w:val="nil"/>
                <w:left w:val="nil"/>
                <w:bottom w:val="nil"/>
                <w:right w:val="nil"/>
                <w:between w:val="nil"/>
              </w:pBdr>
              <w:suppressAutoHyphens w:val="0"/>
              <w:spacing w:after="160"/>
              <w:rPr>
                <w:sz w:val="20"/>
                <w:lang w:val="fr-FR"/>
              </w:rPr>
            </w:pPr>
            <w:r w:rsidRPr="002837A0">
              <w:rPr>
                <w:sz w:val="20"/>
                <w:lang w:val="fr-FR"/>
              </w:rPr>
              <w:t>Rendement des anacardiers parmi les participants au programme avec l'aide de l'USDA (kg / ha)</w:t>
            </w:r>
          </w:p>
        </w:tc>
        <w:tc>
          <w:tcPr>
            <w:tcW w:w="990" w:type="dxa"/>
            <w:tcBorders>
              <w:top w:val="single" w:sz="4" w:space="0" w:color="auto"/>
              <w:left w:val="nil"/>
              <w:bottom w:val="single" w:sz="4" w:space="0" w:color="auto"/>
              <w:right w:val="single" w:sz="4" w:space="0" w:color="auto"/>
            </w:tcBorders>
          </w:tcPr>
          <w:p w14:paraId="2ADD815B" w14:textId="77777777"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single" w:sz="4" w:space="0" w:color="auto"/>
              <w:bottom w:val="single" w:sz="4" w:space="0" w:color="auto"/>
              <w:right w:val="single" w:sz="4" w:space="0" w:color="auto"/>
            </w:tcBorders>
            <w:shd w:val="clear" w:color="auto" w:fill="auto"/>
            <w:noWrap/>
          </w:tcPr>
          <w:p w14:paraId="10298DE9" w14:textId="5175AF93"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nil"/>
              <w:bottom w:val="single" w:sz="4" w:space="0" w:color="auto"/>
              <w:right w:val="single" w:sz="4" w:space="0" w:color="auto"/>
            </w:tcBorders>
            <w:shd w:val="clear" w:color="auto" w:fill="auto"/>
            <w:noWrap/>
          </w:tcPr>
          <w:p w14:paraId="2535D15A" w14:textId="6E264AAC"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1080" w:type="dxa"/>
            <w:tcBorders>
              <w:top w:val="nil"/>
              <w:left w:val="nil"/>
              <w:bottom w:val="single" w:sz="4" w:space="0" w:color="auto"/>
              <w:right w:val="single" w:sz="4" w:space="0" w:color="auto"/>
            </w:tcBorders>
            <w:shd w:val="clear" w:color="auto" w:fill="auto"/>
            <w:noWrap/>
          </w:tcPr>
          <w:p w14:paraId="1CAD3BE5" w14:textId="26DFAE16"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nil"/>
              <w:bottom w:val="single" w:sz="4" w:space="0" w:color="auto"/>
              <w:right w:val="single" w:sz="4" w:space="0" w:color="auto"/>
            </w:tcBorders>
            <w:shd w:val="clear" w:color="auto" w:fill="auto"/>
            <w:noWrap/>
          </w:tcPr>
          <w:p w14:paraId="3CDF7DA2" w14:textId="4EB59345"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1080" w:type="dxa"/>
            <w:tcBorders>
              <w:top w:val="nil"/>
              <w:left w:val="nil"/>
              <w:bottom w:val="single" w:sz="4" w:space="0" w:color="auto"/>
              <w:right w:val="single" w:sz="4" w:space="0" w:color="auto"/>
            </w:tcBorders>
            <w:shd w:val="clear" w:color="auto" w:fill="auto"/>
            <w:noWrap/>
          </w:tcPr>
          <w:p w14:paraId="64E38797" w14:textId="5D959658"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r>
      <w:tr w:rsidR="00963A02" w:rsidRPr="00CD0F5A" w14:paraId="72472C5D" w14:textId="77777777" w:rsidTr="00C33FD1">
        <w:trPr>
          <w:trHeight w:val="568"/>
        </w:trPr>
        <w:tc>
          <w:tcPr>
            <w:tcW w:w="5091" w:type="dxa"/>
            <w:tcBorders>
              <w:top w:val="nil"/>
              <w:left w:val="single" w:sz="4" w:space="0" w:color="auto"/>
              <w:bottom w:val="single" w:sz="4" w:space="0" w:color="auto"/>
              <w:right w:val="single" w:sz="4" w:space="0" w:color="auto"/>
            </w:tcBorders>
            <w:shd w:val="clear" w:color="000000" w:fill="FFFFFF"/>
            <w:vAlign w:val="bottom"/>
            <w:hideMark/>
          </w:tcPr>
          <w:p w14:paraId="297EC0E9" w14:textId="7ECA4FC1" w:rsidR="004B2058" w:rsidRPr="002837A0" w:rsidRDefault="004B2058" w:rsidP="00A46FB6">
            <w:pPr>
              <w:pBdr>
                <w:top w:val="nil"/>
                <w:left w:val="nil"/>
                <w:bottom w:val="nil"/>
                <w:right w:val="nil"/>
                <w:between w:val="nil"/>
              </w:pBdr>
              <w:suppressAutoHyphens w:val="0"/>
              <w:spacing w:after="160"/>
              <w:rPr>
                <w:sz w:val="20"/>
                <w:lang w:val="fr-FR"/>
              </w:rPr>
            </w:pPr>
            <w:r w:rsidRPr="002837A0">
              <w:rPr>
                <w:sz w:val="20"/>
                <w:lang w:val="fr-FR"/>
              </w:rPr>
              <w:t>Valeur des ventes annuelles des exploitations agricoles et des entreprises bénéficiant d'une aide de l'USDA (USD)</w:t>
            </w:r>
          </w:p>
        </w:tc>
        <w:tc>
          <w:tcPr>
            <w:tcW w:w="990" w:type="dxa"/>
            <w:tcBorders>
              <w:top w:val="single" w:sz="4" w:space="0" w:color="auto"/>
              <w:left w:val="nil"/>
              <w:bottom w:val="single" w:sz="4" w:space="0" w:color="auto"/>
              <w:right w:val="single" w:sz="4" w:space="0" w:color="auto"/>
            </w:tcBorders>
          </w:tcPr>
          <w:p w14:paraId="379860E4" w14:textId="77777777"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single" w:sz="4" w:space="0" w:color="auto"/>
              <w:bottom w:val="single" w:sz="4" w:space="0" w:color="auto"/>
              <w:right w:val="single" w:sz="4" w:space="0" w:color="auto"/>
            </w:tcBorders>
            <w:shd w:val="clear" w:color="auto" w:fill="auto"/>
            <w:noWrap/>
          </w:tcPr>
          <w:p w14:paraId="7EBB6E60" w14:textId="2795C44C"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nil"/>
              <w:bottom w:val="single" w:sz="4" w:space="0" w:color="auto"/>
              <w:right w:val="single" w:sz="4" w:space="0" w:color="auto"/>
            </w:tcBorders>
            <w:shd w:val="clear" w:color="auto" w:fill="auto"/>
            <w:noWrap/>
          </w:tcPr>
          <w:p w14:paraId="778660DE" w14:textId="41E7DBD3"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1080" w:type="dxa"/>
            <w:tcBorders>
              <w:top w:val="nil"/>
              <w:left w:val="nil"/>
              <w:bottom w:val="single" w:sz="4" w:space="0" w:color="auto"/>
              <w:right w:val="single" w:sz="4" w:space="0" w:color="auto"/>
            </w:tcBorders>
            <w:shd w:val="clear" w:color="auto" w:fill="auto"/>
            <w:noWrap/>
          </w:tcPr>
          <w:p w14:paraId="793F188F" w14:textId="5A1DBCFB"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nil"/>
              <w:bottom w:val="single" w:sz="4" w:space="0" w:color="auto"/>
              <w:right w:val="single" w:sz="4" w:space="0" w:color="auto"/>
            </w:tcBorders>
            <w:shd w:val="clear" w:color="auto" w:fill="auto"/>
            <w:noWrap/>
          </w:tcPr>
          <w:p w14:paraId="049E2628" w14:textId="2DF99033"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1080" w:type="dxa"/>
            <w:tcBorders>
              <w:top w:val="nil"/>
              <w:left w:val="nil"/>
              <w:bottom w:val="single" w:sz="4" w:space="0" w:color="auto"/>
              <w:right w:val="single" w:sz="4" w:space="0" w:color="auto"/>
            </w:tcBorders>
            <w:shd w:val="clear" w:color="auto" w:fill="auto"/>
            <w:noWrap/>
          </w:tcPr>
          <w:p w14:paraId="422A77EA" w14:textId="2BAD2F3A"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r>
      <w:tr w:rsidR="00963A02" w:rsidRPr="00CD0F5A" w14:paraId="26AE466D" w14:textId="77777777" w:rsidTr="00C33FD1">
        <w:trPr>
          <w:trHeight w:val="562"/>
        </w:trPr>
        <w:tc>
          <w:tcPr>
            <w:tcW w:w="5091" w:type="dxa"/>
            <w:tcBorders>
              <w:top w:val="nil"/>
              <w:left w:val="single" w:sz="4" w:space="0" w:color="auto"/>
              <w:bottom w:val="single" w:sz="4" w:space="0" w:color="auto"/>
              <w:right w:val="single" w:sz="4" w:space="0" w:color="auto"/>
            </w:tcBorders>
            <w:shd w:val="clear" w:color="000000" w:fill="FFFFFF"/>
            <w:vAlign w:val="bottom"/>
            <w:hideMark/>
          </w:tcPr>
          <w:p w14:paraId="2F7DDC41" w14:textId="284B0F3B" w:rsidR="004B2058" w:rsidRPr="002837A0" w:rsidRDefault="004B2058" w:rsidP="002837A0">
            <w:pPr>
              <w:pBdr>
                <w:top w:val="nil"/>
                <w:left w:val="nil"/>
                <w:bottom w:val="nil"/>
                <w:right w:val="nil"/>
                <w:between w:val="nil"/>
              </w:pBdr>
              <w:suppressAutoHyphens w:val="0"/>
              <w:spacing w:after="160"/>
              <w:rPr>
                <w:sz w:val="20"/>
                <w:lang w:val="fr-FR"/>
              </w:rPr>
            </w:pPr>
            <w:r w:rsidRPr="002837A0">
              <w:rPr>
                <w:sz w:val="20"/>
                <w:lang w:val="fr-FR"/>
              </w:rPr>
              <w:t xml:space="preserve">Volume de </w:t>
            </w:r>
            <w:r w:rsidR="002837A0">
              <w:rPr>
                <w:sz w:val="20"/>
                <w:lang w:val="fr-FR"/>
              </w:rPr>
              <w:t>NCB</w:t>
            </w:r>
            <w:r w:rsidRPr="002837A0">
              <w:rPr>
                <w:sz w:val="20"/>
                <w:lang w:val="fr-FR"/>
              </w:rPr>
              <w:t xml:space="preserve"> vendu par les exploitations agricoles et les entreprises recevant une aide de l'USDA (MT), ventilé par KOR et par acheteurs (le bénéficiaire et d'autres)</w:t>
            </w:r>
          </w:p>
        </w:tc>
        <w:tc>
          <w:tcPr>
            <w:tcW w:w="990" w:type="dxa"/>
            <w:tcBorders>
              <w:top w:val="single" w:sz="4" w:space="0" w:color="auto"/>
              <w:left w:val="nil"/>
              <w:bottom w:val="single" w:sz="4" w:space="0" w:color="auto"/>
              <w:right w:val="single" w:sz="4" w:space="0" w:color="auto"/>
            </w:tcBorders>
          </w:tcPr>
          <w:p w14:paraId="50744609" w14:textId="77777777"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single" w:sz="4" w:space="0" w:color="auto"/>
              <w:bottom w:val="single" w:sz="4" w:space="0" w:color="auto"/>
              <w:right w:val="single" w:sz="4" w:space="0" w:color="auto"/>
            </w:tcBorders>
            <w:shd w:val="clear" w:color="auto" w:fill="auto"/>
            <w:noWrap/>
          </w:tcPr>
          <w:p w14:paraId="0A7775D2" w14:textId="11B10E0A"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nil"/>
              <w:bottom w:val="single" w:sz="4" w:space="0" w:color="auto"/>
              <w:right w:val="single" w:sz="4" w:space="0" w:color="auto"/>
            </w:tcBorders>
            <w:shd w:val="clear" w:color="auto" w:fill="auto"/>
            <w:noWrap/>
          </w:tcPr>
          <w:p w14:paraId="23EFA25A" w14:textId="44706BBE"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1080" w:type="dxa"/>
            <w:tcBorders>
              <w:top w:val="nil"/>
              <w:left w:val="nil"/>
              <w:bottom w:val="single" w:sz="4" w:space="0" w:color="auto"/>
              <w:right w:val="single" w:sz="4" w:space="0" w:color="auto"/>
            </w:tcBorders>
            <w:shd w:val="clear" w:color="auto" w:fill="auto"/>
            <w:noWrap/>
          </w:tcPr>
          <w:p w14:paraId="3B341EDA" w14:textId="33B867BC"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nil"/>
              <w:bottom w:val="single" w:sz="4" w:space="0" w:color="auto"/>
              <w:right w:val="single" w:sz="4" w:space="0" w:color="auto"/>
            </w:tcBorders>
            <w:shd w:val="clear" w:color="auto" w:fill="auto"/>
            <w:noWrap/>
          </w:tcPr>
          <w:p w14:paraId="599067F6" w14:textId="79AE6DD4"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1080" w:type="dxa"/>
            <w:tcBorders>
              <w:top w:val="nil"/>
              <w:left w:val="nil"/>
              <w:bottom w:val="single" w:sz="4" w:space="0" w:color="auto"/>
              <w:right w:val="single" w:sz="4" w:space="0" w:color="auto"/>
            </w:tcBorders>
            <w:shd w:val="clear" w:color="auto" w:fill="auto"/>
            <w:noWrap/>
          </w:tcPr>
          <w:p w14:paraId="13F12F3F" w14:textId="644D0464"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r>
      <w:tr w:rsidR="00963A02" w:rsidRPr="00CD0F5A" w14:paraId="6249B892" w14:textId="77777777" w:rsidTr="00C33FD1">
        <w:trPr>
          <w:trHeight w:val="557"/>
        </w:trPr>
        <w:tc>
          <w:tcPr>
            <w:tcW w:w="5091" w:type="dxa"/>
            <w:tcBorders>
              <w:top w:val="nil"/>
              <w:left w:val="single" w:sz="4" w:space="0" w:color="auto"/>
              <w:bottom w:val="single" w:sz="4" w:space="0" w:color="auto"/>
              <w:right w:val="single" w:sz="4" w:space="0" w:color="auto"/>
            </w:tcBorders>
            <w:shd w:val="clear" w:color="000000" w:fill="FFFFFF"/>
            <w:vAlign w:val="bottom"/>
            <w:hideMark/>
          </w:tcPr>
          <w:p w14:paraId="06D08277" w14:textId="615F25EA" w:rsidR="004B2058" w:rsidRPr="002837A0" w:rsidRDefault="004B2058" w:rsidP="004B2058">
            <w:pPr>
              <w:pBdr>
                <w:top w:val="nil"/>
                <w:left w:val="nil"/>
                <w:bottom w:val="nil"/>
                <w:right w:val="nil"/>
                <w:between w:val="nil"/>
              </w:pBdr>
              <w:suppressAutoHyphens w:val="0"/>
              <w:spacing w:after="160"/>
              <w:rPr>
                <w:sz w:val="20"/>
                <w:lang w:val="fr-FR"/>
              </w:rPr>
            </w:pPr>
            <w:r w:rsidRPr="002837A0">
              <w:rPr>
                <w:sz w:val="20"/>
                <w:lang w:val="fr-FR"/>
              </w:rPr>
              <w:t>Nombre de personnes ayant reçu une formation à court terme sur la productivité du secteur agricole ou la sécurité alimentaire grâce à l'aide de l'USDA</w:t>
            </w:r>
          </w:p>
        </w:tc>
        <w:tc>
          <w:tcPr>
            <w:tcW w:w="990" w:type="dxa"/>
            <w:tcBorders>
              <w:top w:val="single" w:sz="4" w:space="0" w:color="auto"/>
              <w:left w:val="nil"/>
              <w:bottom w:val="single" w:sz="4" w:space="0" w:color="auto"/>
              <w:right w:val="single" w:sz="4" w:space="0" w:color="auto"/>
            </w:tcBorders>
          </w:tcPr>
          <w:p w14:paraId="5A6BC46D" w14:textId="77777777"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single" w:sz="4" w:space="0" w:color="auto"/>
              <w:bottom w:val="single" w:sz="4" w:space="0" w:color="auto"/>
              <w:right w:val="single" w:sz="4" w:space="0" w:color="auto"/>
            </w:tcBorders>
            <w:shd w:val="clear" w:color="auto" w:fill="auto"/>
            <w:noWrap/>
          </w:tcPr>
          <w:p w14:paraId="4766F12C" w14:textId="4C6BB0D5"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nil"/>
              <w:bottom w:val="single" w:sz="4" w:space="0" w:color="auto"/>
              <w:right w:val="single" w:sz="4" w:space="0" w:color="auto"/>
            </w:tcBorders>
            <w:shd w:val="clear" w:color="auto" w:fill="auto"/>
            <w:noWrap/>
          </w:tcPr>
          <w:p w14:paraId="33CE0A4C" w14:textId="61EE7A2E"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1080" w:type="dxa"/>
            <w:tcBorders>
              <w:top w:val="nil"/>
              <w:left w:val="nil"/>
              <w:bottom w:val="single" w:sz="4" w:space="0" w:color="auto"/>
              <w:right w:val="single" w:sz="4" w:space="0" w:color="auto"/>
            </w:tcBorders>
            <w:shd w:val="clear" w:color="auto" w:fill="auto"/>
            <w:noWrap/>
          </w:tcPr>
          <w:p w14:paraId="4C1F3094" w14:textId="1DE325A9"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nil"/>
              <w:bottom w:val="single" w:sz="4" w:space="0" w:color="auto"/>
              <w:right w:val="single" w:sz="4" w:space="0" w:color="auto"/>
            </w:tcBorders>
            <w:shd w:val="clear" w:color="auto" w:fill="auto"/>
            <w:noWrap/>
          </w:tcPr>
          <w:p w14:paraId="456137A5" w14:textId="287109B5"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1080" w:type="dxa"/>
            <w:tcBorders>
              <w:top w:val="nil"/>
              <w:left w:val="nil"/>
              <w:bottom w:val="single" w:sz="4" w:space="0" w:color="auto"/>
              <w:right w:val="single" w:sz="4" w:space="0" w:color="auto"/>
            </w:tcBorders>
            <w:shd w:val="clear" w:color="auto" w:fill="auto"/>
            <w:noWrap/>
          </w:tcPr>
          <w:p w14:paraId="5660FFFF" w14:textId="5E492EB4"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r>
      <w:tr w:rsidR="00963A02" w:rsidRPr="00CD0F5A" w14:paraId="5F887B2F" w14:textId="77777777" w:rsidTr="00C33FD1">
        <w:trPr>
          <w:trHeight w:val="566"/>
        </w:trPr>
        <w:tc>
          <w:tcPr>
            <w:tcW w:w="5091" w:type="dxa"/>
            <w:tcBorders>
              <w:top w:val="nil"/>
              <w:left w:val="single" w:sz="4" w:space="0" w:color="auto"/>
              <w:bottom w:val="single" w:sz="4" w:space="0" w:color="auto"/>
              <w:right w:val="single" w:sz="4" w:space="0" w:color="auto"/>
            </w:tcBorders>
            <w:shd w:val="clear" w:color="000000" w:fill="FFFFFF"/>
            <w:vAlign w:val="bottom"/>
            <w:hideMark/>
          </w:tcPr>
          <w:p w14:paraId="413A9833" w14:textId="00ED29A8" w:rsidR="004B2058" w:rsidRPr="002837A0" w:rsidRDefault="004B2058" w:rsidP="00A46FB6">
            <w:pPr>
              <w:pBdr>
                <w:top w:val="nil"/>
                <w:left w:val="nil"/>
                <w:bottom w:val="nil"/>
                <w:right w:val="nil"/>
                <w:between w:val="nil"/>
              </w:pBdr>
              <w:suppressAutoHyphens w:val="0"/>
              <w:spacing w:after="160"/>
              <w:rPr>
                <w:sz w:val="20"/>
                <w:lang w:val="fr-FR"/>
              </w:rPr>
            </w:pPr>
            <w:bookmarkStart w:id="0" w:name="_Hlk21540258"/>
            <w:r w:rsidRPr="002837A0">
              <w:rPr>
                <w:sz w:val="20"/>
                <w:lang w:val="fr-FR"/>
              </w:rPr>
              <w:t>Nombre d'hectares bénéficiant de pratiques ou de technologies de gestion améliorées avec l'aide de l'USDA</w:t>
            </w:r>
          </w:p>
        </w:tc>
        <w:tc>
          <w:tcPr>
            <w:tcW w:w="990" w:type="dxa"/>
            <w:tcBorders>
              <w:top w:val="single" w:sz="4" w:space="0" w:color="auto"/>
              <w:left w:val="nil"/>
              <w:bottom w:val="single" w:sz="4" w:space="0" w:color="auto"/>
              <w:right w:val="single" w:sz="4" w:space="0" w:color="auto"/>
            </w:tcBorders>
          </w:tcPr>
          <w:p w14:paraId="0CB79153" w14:textId="77777777"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single" w:sz="4" w:space="0" w:color="auto"/>
              <w:bottom w:val="single" w:sz="4" w:space="0" w:color="auto"/>
              <w:right w:val="single" w:sz="4" w:space="0" w:color="auto"/>
            </w:tcBorders>
            <w:shd w:val="clear" w:color="auto" w:fill="auto"/>
            <w:noWrap/>
          </w:tcPr>
          <w:p w14:paraId="7FEDAA39" w14:textId="5A871EDB"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nil"/>
              <w:bottom w:val="single" w:sz="4" w:space="0" w:color="auto"/>
              <w:right w:val="single" w:sz="4" w:space="0" w:color="auto"/>
            </w:tcBorders>
            <w:shd w:val="clear" w:color="auto" w:fill="auto"/>
            <w:noWrap/>
          </w:tcPr>
          <w:p w14:paraId="5BA85AC5" w14:textId="2C2AAB9D"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1080" w:type="dxa"/>
            <w:tcBorders>
              <w:top w:val="nil"/>
              <w:left w:val="nil"/>
              <w:bottom w:val="single" w:sz="4" w:space="0" w:color="auto"/>
              <w:right w:val="single" w:sz="4" w:space="0" w:color="auto"/>
            </w:tcBorders>
            <w:shd w:val="clear" w:color="auto" w:fill="auto"/>
            <w:noWrap/>
          </w:tcPr>
          <w:p w14:paraId="64AF2064" w14:textId="176F8414"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nil"/>
              <w:bottom w:val="single" w:sz="4" w:space="0" w:color="auto"/>
              <w:right w:val="single" w:sz="4" w:space="0" w:color="auto"/>
            </w:tcBorders>
            <w:shd w:val="clear" w:color="auto" w:fill="auto"/>
            <w:noWrap/>
          </w:tcPr>
          <w:p w14:paraId="2D7A7A97" w14:textId="30A079DB"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1080" w:type="dxa"/>
            <w:tcBorders>
              <w:top w:val="nil"/>
              <w:left w:val="nil"/>
              <w:bottom w:val="single" w:sz="4" w:space="0" w:color="auto"/>
              <w:right w:val="single" w:sz="4" w:space="0" w:color="auto"/>
            </w:tcBorders>
            <w:shd w:val="clear" w:color="auto" w:fill="auto"/>
            <w:noWrap/>
          </w:tcPr>
          <w:p w14:paraId="4EBDB9AA" w14:textId="13DD6CB8"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r>
      <w:tr w:rsidR="00963A02" w:rsidRPr="00CD0F5A" w14:paraId="0C149C8F" w14:textId="77777777" w:rsidTr="00C33FD1">
        <w:trPr>
          <w:trHeight w:val="546"/>
        </w:trPr>
        <w:tc>
          <w:tcPr>
            <w:tcW w:w="5091" w:type="dxa"/>
            <w:tcBorders>
              <w:top w:val="nil"/>
              <w:left w:val="single" w:sz="4" w:space="0" w:color="auto"/>
              <w:bottom w:val="single" w:sz="4" w:space="0" w:color="auto"/>
              <w:right w:val="single" w:sz="4" w:space="0" w:color="auto"/>
            </w:tcBorders>
            <w:shd w:val="clear" w:color="000000" w:fill="FFFFFF"/>
            <w:vAlign w:val="bottom"/>
          </w:tcPr>
          <w:p w14:paraId="2B426F89" w14:textId="4D4DE170" w:rsidR="004B2058" w:rsidRPr="002837A0" w:rsidRDefault="004B2058" w:rsidP="00A46FB6">
            <w:pPr>
              <w:pBdr>
                <w:top w:val="nil"/>
                <w:left w:val="nil"/>
                <w:bottom w:val="nil"/>
                <w:right w:val="nil"/>
                <w:between w:val="nil"/>
              </w:pBdr>
              <w:suppressAutoHyphens w:val="0"/>
              <w:spacing w:after="160"/>
              <w:rPr>
                <w:sz w:val="20"/>
                <w:lang w:val="fr-FR"/>
              </w:rPr>
            </w:pPr>
            <w:r w:rsidRPr="002837A0">
              <w:rPr>
                <w:sz w:val="20"/>
                <w:lang w:val="fr-FR"/>
              </w:rPr>
              <w:t>Nombre d'organisations ayant une connaissance accrue de la gestion agricole avec l'aide de l'USDA</w:t>
            </w:r>
          </w:p>
        </w:tc>
        <w:tc>
          <w:tcPr>
            <w:tcW w:w="990" w:type="dxa"/>
            <w:tcBorders>
              <w:top w:val="single" w:sz="4" w:space="0" w:color="auto"/>
              <w:left w:val="nil"/>
              <w:bottom w:val="single" w:sz="4" w:space="0" w:color="auto"/>
              <w:right w:val="single" w:sz="4" w:space="0" w:color="auto"/>
            </w:tcBorders>
          </w:tcPr>
          <w:p w14:paraId="46D1359A" w14:textId="77777777"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single" w:sz="4" w:space="0" w:color="auto"/>
              <w:bottom w:val="single" w:sz="4" w:space="0" w:color="auto"/>
              <w:right w:val="single" w:sz="4" w:space="0" w:color="auto"/>
            </w:tcBorders>
            <w:shd w:val="clear" w:color="auto" w:fill="auto"/>
            <w:noWrap/>
          </w:tcPr>
          <w:p w14:paraId="2EBDB090" w14:textId="1B207264"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nil"/>
              <w:bottom w:val="single" w:sz="4" w:space="0" w:color="auto"/>
              <w:right w:val="single" w:sz="4" w:space="0" w:color="auto"/>
            </w:tcBorders>
            <w:shd w:val="clear" w:color="auto" w:fill="auto"/>
            <w:noWrap/>
          </w:tcPr>
          <w:p w14:paraId="3E2B5D54" w14:textId="77777777"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1080" w:type="dxa"/>
            <w:tcBorders>
              <w:top w:val="nil"/>
              <w:left w:val="nil"/>
              <w:bottom w:val="single" w:sz="4" w:space="0" w:color="auto"/>
              <w:right w:val="single" w:sz="4" w:space="0" w:color="auto"/>
            </w:tcBorders>
            <w:shd w:val="clear" w:color="auto" w:fill="auto"/>
            <w:noWrap/>
          </w:tcPr>
          <w:p w14:paraId="20A83144" w14:textId="77777777"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nil"/>
              <w:bottom w:val="single" w:sz="4" w:space="0" w:color="auto"/>
              <w:right w:val="single" w:sz="4" w:space="0" w:color="auto"/>
            </w:tcBorders>
            <w:shd w:val="clear" w:color="auto" w:fill="auto"/>
            <w:noWrap/>
          </w:tcPr>
          <w:p w14:paraId="6F76B7B2" w14:textId="77777777"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c>
          <w:tcPr>
            <w:tcW w:w="1080" w:type="dxa"/>
            <w:tcBorders>
              <w:top w:val="nil"/>
              <w:left w:val="nil"/>
              <w:bottom w:val="single" w:sz="4" w:space="0" w:color="auto"/>
              <w:right w:val="single" w:sz="4" w:space="0" w:color="auto"/>
            </w:tcBorders>
            <w:shd w:val="clear" w:color="auto" w:fill="auto"/>
            <w:noWrap/>
          </w:tcPr>
          <w:p w14:paraId="38721822" w14:textId="77777777" w:rsidR="00963A02" w:rsidRPr="004B2058" w:rsidRDefault="00963A02" w:rsidP="00A46FB6">
            <w:pPr>
              <w:pBdr>
                <w:top w:val="nil"/>
                <w:left w:val="nil"/>
                <w:bottom w:val="nil"/>
                <w:right w:val="nil"/>
                <w:between w:val="nil"/>
              </w:pBdr>
              <w:suppressAutoHyphens w:val="0"/>
              <w:spacing w:after="160"/>
              <w:jc w:val="center"/>
              <w:rPr>
                <w:color w:val="000000"/>
                <w:sz w:val="20"/>
                <w:lang w:val="fr-FR"/>
              </w:rPr>
            </w:pPr>
          </w:p>
        </w:tc>
      </w:tr>
      <w:bookmarkEnd w:id="0"/>
      <w:tr w:rsidR="00963A02" w:rsidRPr="00CD0F5A" w14:paraId="2720FFED" w14:textId="77777777" w:rsidTr="00C33FD1">
        <w:trPr>
          <w:trHeight w:val="546"/>
        </w:trPr>
        <w:tc>
          <w:tcPr>
            <w:tcW w:w="5091" w:type="dxa"/>
            <w:tcBorders>
              <w:top w:val="nil"/>
              <w:left w:val="single" w:sz="4" w:space="0" w:color="auto"/>
              <w:bottom w:val="single" w:sz="4" w:space="0" w:color="auto"/>
              <w:right w:val="single" w:sz="4" w:space="0" w:color="auto"/>
            </w:tcBorders>
            <w:shd w:val="clear" w:color="000000" w:fill="FFFFFF"/>
            <w:vAlign w:val="bottom"/>
          </w:tcPr>
          <w:p w14:paraId="11EA9E68" w14:textId="637C0434" w:rsidR="00C33FD1" w:rsidRPr="002837A0" w:rsidRDefault="00C33FD1" w:rsidP="00A46FB6">
            <w:pPr>
              <w:pBdr>
                <w:top w:val="nil"/>
                <w:left w:val="nil"/>
                <w:bottom w:val="nil"/>
                <w:right w:val="nil"/>
                <w:between w:val="nil"/>
              </w:pBdr>
              <w:suppressAutoHyphens w:val="0"/>
              <w:spacing w:after="160"/>
              <w:rPr>
                <w:sz w:val="20"/>
                <w:lang w:val="fr-FR"/>
              </w:rPr>
            </w:pPr>
            <w:r w:rsidRPr="002837A0">
              <w:rPr>
                <w:sz w:val="20"/>
                <w:lang w:val="fr-FR"/>
              </w:rPr>
              <w:t>Valeur des nouveaux Engagements du Gouvernement Américain et des nouveaux investissements des secteurs public et privé mobilisés par l'USDA pour soutenir la sécurité alimentaire et la nutrition (USG)</w:t>
            </w:r>
          </w:p>
        </w:tc>
        <w:tc>
          <w:tcPr>
            <w:tcW w:w="990" w:type="dxa"/>
            <w:tcBorders>
              <w:top w:val="single" w:sz="4" w:space="0" w:color="auto"/>
              <w:left w:val="nil"/>
              <w:bottom w:val="single" w:sz="4" w:space="0" w:color="auto"/>
              <w:right w:val="single" w:sz="4" w:space="0" w:color="auto"/>
            </w:tcBorders>
          </w:tcPr>
          <w:p w14:paraId="1E445FC7" w14:textId="77777777" w:rsidR="00963A02" w:rsidRPr="00C33FD1"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single" w:sz="4" w:space="0" w:color="auto"/>
              <w:bottom w:val="single" w:sz="4" w:space="0" w:color="auto"/>
              <w:right w:val="single" w:sz="4" w:space="0" w:color="auto"/>
            </w:tcBorders>
            <w:shd w:val="clear" w:color="auto" w:fill="auto"/>
            <w:noWrap/>
          </w:tcPr>
          <w:p w14:paraId="70CBB792" w14:textId="48CDE7DA" w:rsidR="00963A02" w:rsidRPr="00C33FD1"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nil"/>
              <w:bottom w:val="single" w:sz="4" w:space="0" w:color="auto"/>
              <w:right w:val="single" w:sz="4" w:space="0" w:color="auto"/>
            </w:tcBorders>
            <w:shd w:val="clear" w:color="auto" w:fill="auto"/>
            <w:noWrap/>
          </w:tcPr>
          <w:p w14:paraId="524E5A4B" w14:textId="6BFED0A9" w:rsidR="00963A02" w:rsidRPr="00C33FD1" w:rsidRDefault="00963A02" w:rsidP="00A46FB6">
            <w:pPr>
              <w:pBdr>
                <w:top w:val="nil"/>
                <w:left w:val="nil"/>
                <w:bottom w:val="nil"/>
                <w:right w:val="nil"/>
                <w:between w:val="nil"/>
              </w:pBdr>
              <w:suppressAutoHyphens w:val="0"/>
              <w:spacing w:after="160"/>
              <w:jc w:val="center"/>
              <w:rPr>
                <w:color w:val="000000"/>
                <w:sz w:val="20"/>
                <w:lang w:val="fr-FR"/>
              </w:rPr>
            </w:pPr>
          </w:p>
        </w:tc>
        <w:tc>
          <w:tcPr>
            <w:tcW w:w="1080" w:type="dxa"/>
            <w:tcBorders>
              <w:top w:val="nil"/>
              <w:left w:val="nil"/>
              <w:bottom w:val="single" w:sz="4" w:space="0" w:color="auto"/>
              <w:right w:val="single" w:sz="4" w:space="0" w:color="auto"/>
            </w:tcBorders>
            <w:shd w:val="clear" w:color="auto" w:fill="auto"/>
            <w:noWrap/>
          </w:tcPr>
          <w:p w14:paraId="22EACBA3" w14:textId="0C2113BC" w:rsidR="00963A02" w:rsidRPr="00C33FD1"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nil"/>
              <w:bottom w:val="single" w:sz="4" w:space="0" w:color="auto"/>
              <w:right w:val="single" w:sz="4" w:space="0" w:color="auto"/>
            </w:tcBorders>
            <w:shd w:val="clear" w:color="auto" w:fill="auto"/>
            <w:noWrap/>
          </w:tcPr>
          <w:p w14:paraId="2492DE45" w14:textId="730B1B3E" w:rsidR="00963A02" w:rsidRPr="00C33FD1" w:rsidRDefault="00963A02" w:rsidP="00A46FB6">
            <w:pPr>
              <w:pBdr>
                <w:top w:val="nil"/>
                <w:left w:val="nil"/>
                <w:bottom w:val="nil"/>
                <w:right w:val="nil"/>
                <w:between w:val="nil"/>
              </w:pBdr>
              <w:suppressAutoHyphens w:val="0"/>
              <w:spacing w:after="160"/>
              <w:jc w:val="center"/>
              <w:rPr>
                <w:color w:val="000000"/>
                <w:sz w:val="20"/>
                <w:lang w:val="fr-FR"/>
              </w:rPr>
            </w:pPr>
          </w:p>
        </w:tc>
        <w:tc>
          <w:tcPr>
            <w:tcW w:w="1080" w:type="dxa"/>
            <w:tcBorders>
              <w:top w:val="nil"/>
              <w:left w:val="nil"/>
              <w:bottom w:val="single" w:sz="4" w:space="0" w:color="auto"/>
              <w:right w:val="single" w:sz="4" w:space="0" w:color="auto"/>
            </w:tcBorders>
            <w:shd w:val="clear" w:color="auto" w:fill="auto"/>
            <w:noWrap/>
          </w:tcPr>
          <w:p w14:paraId="3165BD6E" w14:textId="64F3AB9A" w:rsidR="00963A02" w:rsidRPr="00C33FD1" w:rsidRDefault="00963A02" w:rsidP="00A46FB6">
            <w:pPr>
              <w:pBdr>
                <w:top w:val="nil"/>
                <w:left w:val="nil"/>
                <w:bottom w:val="nil"/>
                <w:right w:val="nil"/>
                <w:between w:val="nil"/>
              </w:pBdr>
              <w:suppressAutoHyphens w:val="0"/>
              <w:spacing w:after="160"/>
              <w:jc w:val="center"/>
              <w:rPr>
                <w:color w:val="000000"/>
                <w:sz w:val="20"/>
                <w:lang w:val="fr-FR"/>
              </w:rPr>
            </w:pPr>
          </w:p>
        </w:tc>
      </w:tr>
      <w:tr w:rsidR="00963A02" w:rsidRPr="00CD0F5A" w14:paraId="5C60A263" w14:textId="77777777" w:rsidTr="00C33FD1">
        <w:trPr>
          <w:trHeight w:val="546"/>
        </w:trPr>
        <w:tc>
          <w:tcPr>
            <w:tcW w:w="5091" w:type="dxa"/>
            <w:tcBorders>
              <w:top w:val="nil"/>
              <w:left w:val="single" w:sz="4" w:space="0" w:color="auto"/>
              <w:bottom w:val="single" w:sz="4" w:space="0" w:color="auto"/>
              <w:right w:val="single" w:sz="4" w:space="0" w:color="auto"/>
            </w:tcBorders>
            <w:shd w:val="clear" w:color="000000" w:fill="FFFFFF"/>
            <w:vAlign w:val="bottom"/>
            <w:hideMark/>
          </w:tcPr>
          <w:p w14:paraId="3806EE35" w14:textId="149D11DF" w:rsidR="00C33FD1" w:rsidRPr="002837A0" w:rsidRDefault="00C33FD1" w:rsidP="00C33FD1">
            <w:pPr>
              <w:pBdr>
                <w:top w:val="nil"/>
                <w:left w:val="nil"/>
                <w:bottom w:val="nil"/>
                <w:right w:val="nil"/>
                <w:between w:val="nil"/>
              </w:pBdr>
              <w:suppressAutoHyphens w:val="0"/>
              <w:spacing w:after="160"/>
              <w:rPr>
                <w:sz w:val="20"/>
                <w:lang w:val="fr-FR"/>
              </w:rPr>
            </w:pPr>
            <w:r w:rsidRPr="002837A0">
              <w:rPr>
                <w:sz w:val="20"/>
                <w:lang w:val="fr-FR"/>
              </w:rPr>
              <w:t>Nombre de personnes dans le système agricole ayant mis en œuvre des pratiques ou des technologies de gestion améliorées avec l'aide de l'USDA</w:t>
            </w:r>
          </w:p>
        </w:tc>
        <w:tc>
          <w:tcPr>
            <w:tcW w:w="990" w:type="dxa"/>
            <w:tcBorders>
              <w:top w:val="single" w:sz="4" w:space="0" w:color="auto"/>
              <w:left w:val="nil"/>
              <w:bottom w:val="single" w:sz="4" w:space="0" w:color="auto"/>
              <w:right w:val="single" w:sz="4" w:space="0" w:color="auto"/>
            </w:tcBorders>
          </w:tcPr>
          <w:p w14:paraId="1E90D5FA" w14:textId="77777777" w:rsidR="00963A02" w:rsidRPr="00C33FD1"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single" w:sz="4" w:space="0" w:color="auto"/>
              <w:bottom w:val="single" w:sz="4" w:space="0" w:color="auto"/>
              <w:right w:val="single" w:sz="4" w:space="0" w:color="auto"/>
            </w:tcBorders>
            <w:shd w:val="clear" w:color="auto" w:fill="auto"/>
            <w:noWrap/>
          </w:tcPr>
          <w:p w14:paraId="315210A6" w14:textId="5CC577C6" w:rsidR="00963A02" w:rsidRPr="00C33FD1"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nil"/>
              <w:bottom w:val="single" w:sz="4" w:space="0" w:color="auto"/>
              <w:right w:val="single" w:sz="4" w:space="0" w:color="auto"/>
            </w:tcBorders>
            <w:shd w:val="clear" w:color="auto" w:fill="auto"/>
            <w:noWrap/>
          </w:tcPr>
          <w:p w14:paraId="4C5D3042" w14:textId="1DF625C3" w:rsidR="00963A02" w:rsidRPr="00C33FD1" w:rsidRDefault="00963A02" w:rsidP="00A46FB6">
            <w:pPr>
              <w:pBdr>
                <w:top w:val="nil"/>
                <w:left w:val="nil"/>
                <w:bottom w:val="nil"/>
                <w:right w:val="nil"/>
                <w:between w:val="nil"/>
              </w:pBdr>
              <w:suppressAutoHyphens w:val="0"/>
              <w:spacing w:after="160"/>
              <w:jc w:val="center"/>
              <w:rPr>
                <w:color w:val="000000"/>
                <w:sz w:val="20"/>
                <w:lang w:val="fr-FR"/>
              </w:rPr>
            </w:pPr>
          </w:p>
        </w:tc>
        <w:tc>
          <w:tcPr>
            <w:tcW w:w="1080" w:type="dxa"/>
            <w:tcBorders>
              <w:top w:val="nil"/>
              <w:left w:val="nil"/>
              <w:bottom w:val="single" w:sz="4" w:space="0" w:color="auto"/>
              <w:right w:val="single" w:sz="4" w:space="0" w:color="auto"/>
            </w:tcBorders>
            <w:shd w:val="clear" w:color="auto" w:fill="auto"/>
            <w:noWrap/>
          </w:tcPr>
          <w:p w14:paraId="62FDC945" w14:textId="75947473" w:rsidR="00963A02" w:rsidRPr="00C33FD1"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nil"/>
              <w:bottom w:val="single" w:sz="4" w:space="0" w:color="auto"/>
              <w:right w:val="single" w:sz="4" w:space="0" w:color="auto"/>
            </w:tcBorders>
            <w:shd w:val="clear" w:color="auto" w:fill="auto"/>
            <w:noWrap/>
          </w:tcPr>
          <w:p w14:paraId="745AB4CF" w14:textId="330F4550" w:rsidR="00963A02" w:rsidRPr="00C33FD1" w:rsidRDefault="00963A02" w:rsidP="00A46FB6">
            <w:pPr>
              <w:pBdr>
                <w:top w:val="nil"/>
                <w:left w:val="nil"/>
                <w:bottom w:val="nil"/>
                <w:right w:val="nil"/>
                <w:between w:val="nil"/>
              </w:pBdr>
              <w:suppressAutoHyphens w:val="0"/>
              <w:spacing w:after="160"/>
              <w:jc w:val="center"/>
              <w:rPr>
                <w:color w:val="000000"/>
                <w:sz w:val="20"/>
                <w:lang w:val="fr-FR"/>
              </w:rPr>
            </w:pPr>
          </w:p>
        </w:tc>
        <w:tc>
          <w:tcPr>
            <w:tcW w:w="1080" w:type="dxa"/>
            <w:tcBorders>
              <w:top w:val="nil"/>
              <w:left w:val="nil"/>
              <w:bottom w:val="single" w:sz="4" w:space="0" w:color="auto"/>
              <w:right w:val="single" w:sz="4" w:space="0" w:color="auto"/>
            </w:tcBorders>
            <w:shd w:val="clear" w:color="auto" w:fill="auto"/>
            <w:noWrap/>
          </w:tcPr>
          <w:p w14:paraId="1ED13EBD" w14:textId="608A20D5" w:rsidR="00963A02" w:rsidRPr="00C33FD1" w:rsidRDefault="00963A02" w:rsidP="00A46FB6">
            <w:pPr>
              <w:pBdr>
                <w:top w:val="nil"/>
                <w:left w:val="nil"/>
                <w:bottom w:val="nil"/>
                <w:right w:val="nil"/>
                <w:between w:val="nil"/>
              </w:pBdr>
              <w:suppressAutoHyphens w:val="0"/>
              <w:spacing w:after="160"/>
              <w:jc w:val="center"/>
              <w:rPr>
                <w:color w:val="000000"/>
                <w:sz w:val="20"/>
                <w:lang w:val="fr-FR"/>
              </w:rPr>
            </w:pPr>
          </w:p>
        </w:tc>
      </w:tr>
      <w:tr w:rsidR="00963A02" w:rsidRPr="00CD0F5A" w14:paraId="6F540580" w14:textId="77777777" w:rsidTr="00C33FD1">
        <w:trPr>
          <w:trHeight w:val="620"/>
        </w:trPr>
        <w:tc>
          <w:tcPr>
            <w:tcW w:w="5091" w:type="dxa"/>
            <w:tcBorders>
              <w:top w:val="nil"/>
              <w:left w:val="single" w:sz="4" w:space="0" w:color="auto"/>
              <w:bottom w:val="single" w:sz="4" w:space="0" w:color="auto"/>
              <w:right w:val="single" w:sz="4" w:space="0" w:color="auto"/>
            </w:tcBorders>
            <w:shd w:val="clear" w:color="auto" w:fill="auto"/>
          </w:tcPr>
          <w:p w14:paraId="0242A5FB" w14:textId="3E0E905F" w:rsidR="00C33FD1" w:rsidRPr="002837A0" w:rsidRDefault="00C33FD1" w:rsidP="00C33FD1">
            <w:pPr>
              <w:pBdr>
                <w:top w:val="nil"/>
                <w:left w:val="nil"/>
                <w:bottom w:val="nil"/>
                <w:right w:val="nil"/>
                <w:between w:val="nil"/>
              </w:pBdr>
              <w:suppressAutoHyphens w:val="0"/>
              <w:spacing w:after="160"/>
              <w:rPr>
                <w:sz w:val="20"/>
                <w:lang w:val="fr-FR"/>
              </w:rPr>
            </w:pPr>
            <w:r w:rsidRPr="002837A0">
              <w:rPr>
                <w:sz w:val="20"/>
                <w:lang w:val="fr-FR"/>
              </w:rPr>
              <w:t xml:space="preserve">Nombre de semis améliorés vendus par les pépinières et les distributeurs de semis bénéficiant </w:t>
            </w:r>
            <w:r w:rsidR="002D633A" w:rsidRPr="002837A0">
              <w:rPr>
                <w:sz w:val="20"/>
                <w:lang w:val="fr-FR"/>
              </w:rPr>
              <w:t>d'une assistance de l'USDA</w:t>
            </w:r>
          </w:p>
        </w:tc>
        <w:tc>
          <w:tcPr>
            <w:tcW w:w="990" w:type="dxa"/>
            <w:tcBorders>
              <w:top w:val="single" w:sz="4" w:space="0" w:color="auto"/>
              <w:left w:val="nil"/>
              <w:bottom w:val="single" w:sz="4" w:space="0" w:color="auto"/>
              <w:right w:val="single" w:sz="4" w:space="0" w:color="auto"/>
            </w:tcBorders>
          </w:tcPr>
          <w:p w14:paraId="18FF07F5" w14:textId="77777777" w:rsidR="00963A02" w:rsidRPr="00C33FD1"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single" w:sz="4" w:space="0" w:color="auto"/>
              <w:bottom w:val="single" w:sz="4" w:space="0" w:color="auto"/>
              <w:right w:val="single" w:sz="4" w:space="0" w:color="auto"/>
            </w:tcBorders>
            <w:shd w:val="clear" w:color="auto" w:fill="auto"/>
            <w:noWrap/>
          </w:tcPr>
          <w:p w14:paraId="51E644E1" w14:textId="495690D5" w:rsidR="00963A02" w:rsidRPr="00C33FD1"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nil"/>
              <w:bottom w:val="single" w:sz="4" w:space="0" w:color="auto"/>
              <w:right w:val="single" w:sz="4" w:space="0" w:color="auto"/>
            </w:tcBorders>
            <w:shd w:val="clear" w:color="auto" w:fill="auto"/>
            <w:noWrap/>
          </w:tcPr>
          <w:p w14:paraId="09ED5C83" w14:textId="51E19BC5" w:rsidR="00963A02" w:rsidRPr="00C33FD1" w:rsidRDefault="00963A02" w:rsidP="00A46FB6">
            <w:pPr>
              <w:pBdr>
                <w:top w:val="nil"/>
                <w:left w:val="nil"/>
                <w:bottom w:val="nil"/>
                <w:right w:val="nil"/>
                <w:between w:val="nil"/>
              </w:pBdr>
              <w:suppressAutoHyphens w:val="0"/>
              <w:spacing w:after="160"/>
              <w:jc w:val="center"/>
              <w:rPr>
                <w:color w:val="000000"/>
                <w:sz w:val="20"/>
                <w:lang w:val="fr-FR"/>
              </w:rPr>
            </w:pPr>
          </w:p>
        </w:tc>
        <w:tc>
          <w:tcPr>
            <w:tcW w:w="1080" w:type="dxa"/>
            <w:tcBorders>
              <w:top w:val="nil"/>
              <w:left w:val="nil"/>
              <w:bottom w:val="single" w:sz="4" w:space="0" w:color="auto"/>
              <w:right w:val="single" w:sz="4" w:space="0" w:color="auto"/>
            </w:tcBorders>
            <w:shd w:val="clear" w:color="auto" w:fill="auto"/>
            <w:noWrap/>
          </w:tcPr>
          <w:p w14:paraId="7202BFDD" w14:textId="54BC2B9A" w:rsidR="00963A02" w:rsidRPr="00C33FD1"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nil"/>
              <w:bottom w:val="single" w:sz="4" w:space="0" w:color="auto"/>
              <w:right w:val="single" w:sz="4" w:space="0" w:color="auto"/>
            </w:tcBorders>
            <w:shd w:val="clear" w:color="auto" w:fill="auto"/>
            <w:noWrap/>
          </w:tcPr>
          <w:p w14:paraId="6E877CEA" w14:textId="15616714" w:rsidR="00963A02" w:rsidRPr="00C33FD1" w:rsidRDefault="00963A02" w:rsidP="00A46FB6">
            <w:pPr>
              <w:pBdr>
                <w:top w:val="nil"/>
                <w:left w:val="nil"/>
                <w:bottom w:val="nil"/>
                <w:right w:val="nil"/>
                <w:between w:val="nil"/>
              </w:pBdr>
              <w:suppressAutoHyphens w:val="0"/>
              <w:spacing w:after="160"/>
              <w:jc w:val="center"/>
              <w:rPr>
                <w:color w:val="000000"/>
                <w:sz w:val="20"/>
                <w:lang w:val="fr-FR"/>
              </w:rPr>
            </w:pPr>
          </w:p>
        </w:tc>
        <w:tc>
          <w:tcPr>
            <w:tcW w:w="1080" w:type="dxa"/>
            <w:tcBorders>
              <w:top w:val="nil"/>
              <w:left w:val="nil"/>
              <w:bottom w:val="single" w:sz="4" w:space="0" w:color="auto"/>
              <w:right w:val="single" w:sz="4" w:space="0" w:color="auto"/>
            </w:tcBorders>
            <w:shd w:val="clear" w:color="auto" w:fill="auto"/>
            <w:noWrap/>
          </w:tcPr>
          <w:p w14:paraId="5ED0121F" w14:textId="08BEA8E1" w:rsidR="00963A02" w:rsidRPr="00C33FD1" w:rsidRDefault="00963A02" w:rsidP="00A46FB6">
            <w:pPr>
              <w:pBdr>
                <w:top w:val="nil"/>
                <w:left w:val="nil"/>
                <w:bottom w:val="nil"/>
                <w:right w:val="nil"/>
                <w:between w:val="nil"/>
              </w:pBdr>
              <w:suppressAutoHyphens w:val="0"/>
              <w:spacing w:after="160"/>
              <w:jc w:val="center"/>
              <w:rPr>
                <w:color w:val="000000"/>
                <w:sz w:val="20"/>
                <w:lang w:val="fr-FR"/>
              </w:rPr>
            </w:pPr>
          </w:p>
        </w:tc>
      </w:tr>
      <w:tr w:rsidR="00963A02" w:rsidRPr="00CD0F5A" w14:paraId="1F800C0B" w14:textId="77777777" w:rsidTr="00C33FD1">
        <w:trPr>
          <w:trHeight w:val="421"/>
        </w:trPr>
        <w:tc>
          <w:tcPr>
            <w:tcW w:w="5091" w:type="dxa"/>
            <w:tcBorders>
              <w:top w:val="nil"/>
              <w:left w:val="single" w:sz="4" w:space="0" w:color="auto"/>
              <w:bottom w:val="single" w:sz="4" w:space="0" w:color="auto"/>
              <w:right w:val="single" w:sz="4" w:space="0" w:color="auto"/>
            </w:tcBorders>
            <w:shd w:val="clear" w:color="auto" w:fill="auto"/>
            <w:hideMark/>
          </w:tcPr>
          <w:p w14:paraId="05640254" w14:textId="6C41DBC1" w:rsidR="00963A02" w:rsidRPr="002837A0" w:rsidRDefault="002D633A" w:rsidP="00A46FB6">
            <w:pPr>
              <w:pBdr>
                <w:top w:val="nil"/>
                <w:left w:val="nil"/>
                <w:bottom w:val="nil"/>
                <w:right w:val="nil"/>
                <w:between w:val="nil"/>
              </w:pBdr>
              <w:suppressAutoHyphens w:val="0"/>
              <w:spacing w:after="160"/>
              <w:rPr>
                <w:sz w:val="20"/>
                <w:lang w:val="fr-FR"/>
              </w:rPr>
            </w:pPr>
            <w:r w:rsidRPr="002837A0">
              <w:rPr>
                <w:sz w:val="20"/>
                <w:lang w:val="fr-FR"/>
              </w:rPr>
              <w:t>Nombre d'emplois attribués à l'aide de l'USDA</w:t>
            </w:r>
            <w:r w:rsidR="00963A02" w:rsidRPr="002837A0">
              <w:rPr>
                <w:sz w:val="20"/>
                <w:lang w:val="fr-FR"/>
              </w:rPr>
              <w:t xml:space="preserve">  </w:t>
            </w:r>
          </w:p>
        </w:tc>
        <w:tc>
          <w:tcPr>
            <w:tcW w:w="990" w:type="dxa"/>
            <w:tcBorders>
              <w:top w:val="single" w:sz="4" w:space="0" w:color="auto"/>
              <w:left w:val="nil"/>
              <w:bottom w:val="single" w:sz="4" w:space="0" w:color="auto"/>
              <w:right w:val="single" w:sz="4" w:space="0" w:color="auto"/>
            </w:tcBorders>
          </w:tcPr>
          <w:p w14:paraId="17E9412F" w14:textId="77777777" w:rsidR="00963A02" w:rsidRPr="002D633A"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single" w:sz="4" w:space="0" w:color="auto"/>
              <w:bottom w:val="single" w:sz="4" w:space="0" w:color="auto"/>
              <w:right w:val="single" w:sz="4" w:space="0" w:color="auto"/>
            </w:tcBorders>
            <w:shd w:val="clear" w:color="auto" w:fill="auto"/>
            <w:noWrap/>
          </w:tcPr>
          <w:p w14:paraId="68BA09AF" w14:textId="7120F1CD" w:rsidR="00963A02" w:rsidRPr="002D633A"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nil"/>
              <w:bottom w:val="single" w:sz="4" w:space="0" w:color="auto"/>
              <w:right w:val="single" w:sz="4" w:space="0" w:color="auto"/>
            </w:tcBorders>
            <w:shd w:val="clear" w:color="auto" w:fill="auto"/>
            <w:noWrap/>
          </w:tcPr>
          <w:p w14:paraId="44126F1E" w14:textId="18112C61" w:rsidR="00963A02" w:rsidRPr="002D633A" w:rsidRDefault="00963A02" w:rsidP="00A46FB6">
            <w:pPr>
              <w:pBdr>
                <w:top w:val="nil"/>
                <w:left w:val="nil"/>
                <w:bottom w:val="nil"/>
                <w:right w:val="nil"/>
                <w:between w:val="nil"/>
              </w:pBdr>
              <w:suppressAutoHyphens w:val="0"/>
              <w:spacing w:after="160"/>
              <w:jc w:val="center"/>
              <w:rPr>
                <w:color w:val="000000"/>
                <w:sz w:val="20"/>
                <w:lang w:val="fr-FR"/>
              </w:rPr>
            </w:pPr>
          </w:p>
        </w:tc>
        <w:tc>
          <w:tcPr>
            <w:tcW w:w="1080" w:type="dxa"/>
            <w:tcBorders>
              <w:top w:val="nil"/>
              <w:left w:val="nil"/>
              <w:bottom w:val="single" w:sz="4" w:space="0" w:color="auto"/>
              <w:right w:val="single" w:sz="4" w:space="0" w:color="auto"/>
            </w:tcBorders>
            <w:shd w:val="clear" w:color="auto" w:fill="auto"/>
            <w:noWrap/>
          </w:tcPr>
          <w:p w14:paraId="123DA4FF" w14:textId="3C655F98" w:rsidR="00963A02" w:rsidRPr="002D633A"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nil"/>
              <w:left w:val="nil"/>
              <w:bottom w:val="single" w:sz="4" w:space="0" w:color="auto"/>
              <w:right w:val="single" w:sz="4" w:space="0" w:color="auto"/>
            </w:tcBorders>
            <w:shd w:val="clear" w:color="auto" w:fill="auto"/>
            <w:noWrap/>
          </w:tcPr>
          <w:p w14:paraId="61EF8EF8" w14:textId="2EDBAC15" w:rsidR="00963A02" w:rsidRPr="002D633A" w:rsidRDefault="00963A02" w:rsidP="00A46FB6">
            <w:pPr>
              <w:pBdr>
                <w:top w:val="nil"/>
                <w:left w:val="nil"/>
                <w:bottom w:val="nil"/>
                <w:right w:val="nil"/>
                <w:between w:val="nil"/>
              </w:pBdr>
              <w:suppressAutoHyphens w:val="0"/>
              <w:spacing w:after="160"/>
              <w:jc w:val="center"/>
              <w:rPr>
                <w:color w:val="000000"/>
                <w:sz w:val="20"/>
                <w:lang w:val="fr-FR"/>
              </w:rPr>
            </w:pPr>
          </w:p>
        </w:tc>
        <w:tc>
          <w:tcPr>
            <w:tcW w:w="1080" w:type="dxa"/>
            <w:tcBorders>
              <w:top w:val="nil"/>
              <w:left w:val="nil"/>
              <w:bottom w:val="single" w:sz="4" w:space="0" w:color="auto"/>
              <w:right w:val="single" w:sz="4" w:space="0" w:color="auto"/>
            </w:tcBorders>
            <w:shd w:val="clear" w:color="auto" w:fill="auto"/>
            <w:noWrap/>
          </w:tcPr>
          <w:p w14:paraId="3E4CB31C" w14:textId="42D635D3" w:rsidR="00963A02" w:rsidRPr="002D633A" w:rsidRDefault="00963A02" w:rsidP="00A46FB6">
            <w:pPr>
              <w:pBdr>
                <w:top w:val="nil"/>
                <w:left w:val="nil"/>
                <w:bottom w:val="nil"/>
                <w:right w:val="nil"/>
                <w:between w:val="nil"/>
              </w:pBdr>
              <w:suppressAutoHyphens w:val="0"/>
              <w:spacing w:after="160"/>
              <w:jc w:val="center"/>
              <w:rPr>
                <w:color w:val="000000"/>
                <w:sz w:val="20"/>
                <w:lang w:val="fr-FR"/>
              </w:rPr>
            </w:pPr>
          </w:p>
        </w:tc>
      </w:tr>
      <w:tr w:rsidR="00963A02" w:rsidRPr="00CD0F5A" w14:paraId="2D1DD7CE" w14:textId="77777777" w:rsidTr="00C33FD1">
        <w:trPr>
          <w:trHeight w:val="413"/>
        </w:trPr>
        <w:tc>
          <w:tcPr>
            <w:tcW w:w="5091" w:type="dxa"/>
            <w:tcBorders>
              <w:top w:val="single" w:sz="4" w:space="0" w:color="auto"/>
              <w:left w:val="single" w:sz="4" w:space="0" w:color="auto"/>
              <w:bottom w:val="single" w:sz="4" w:space="0" w:color="auto"/>
              <w:right w:val="single" w:sz="4" w:space="0" w:color="auto"/>
            </w:tcBorders>
            <w:shd w:val="clear" w:color="auto" w:fill="auto"/>
          </w:tcPr>
          <w:p w14:paraId="0E5AD7CB" w14:textId="5C452FAE" w:rsidR="002D633A" w:rsidRPr="002837A0" w:rsidRDefault="002D633A" w:rsidP="00A46FB6">
            <w:pPr>
              <w:pBdr>
                <w:top w:val="nil"/>
                <w:left w:val="nil"/>
                <w:bottom w:val="nil"/>
                <w:right w:val="nil"/>
                <w:between w:val="nil"/>
              </w:pBdr>
              <w:suppressAutoHyphens w:val="0"/>
              <w:spacing w:after="160"/>
              <w:rPr>
                <w:sz w:val="20"/>
                <w:lang w:val="fr-FR"/>
              </w:rPr>
            </w:pPr>
            <w:r w:rsidRPr="002837A0">
              <w:rPr>
                <w:sz w:val="20"/>
                <w:lang w:val="fr-FR"/>
              </w:rPr>
              <w:t>Nombre de prêts décaissés grâce à l'aide de l'USDA</w:t>
            </w:r>
          </w:p>
        </w:tc>
        <w:tc>
          <w:tcPr>
            <w:tcW w:w="990" w:type="dxa"/>
            <w:tcBorders>
              <w:top w:val="single" w:sz="4" w:space="0" w:color="auto"/>
              <w:left w:val="nil"/>
              <w:bottom w:val="single" w:sz="4" w:space="0" w:color="auto"/>
              <w:right w:val="single" w:sz="4" w:space="0" w:color="auto"/>
            </w:tcBorders>
          </w:tcPr>
          <w:p w14:paraId="3A88A200" w14:textId="77777777" w:rsidR="00963A02" w:rsidRPr="002D633A"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4E153966" w14:textId="3E255DB4" w:rsidR="00963A02" w:rsidRPr="002D633A"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single" w:sz="4" w:space="0" w:color="auto"/>
              <w:left w:val="nil"/>
              <w:bottom w:val="single" w:sz="4" w:space="0" w:color="auto"/>
              <w:right w:val="single" w:sz="4" w:space="0" w:color="auto"/>
            </w:tcBorders>
            <w:shd w:val="clear" w:color="auto" w:fill="auto"/>
            <w:noWrap/>
          </w:tcPr>
          <w:p w14:paraId="1F47CFCE" w14:textId="713E5D81" w:rsidR="00963A02" w:rsidRPr="002D633A" w:rsidRDefault="00963A02" w:rsidP="00A46FB6">
            <w:pPr>
              <w:pBdr>
                <w:top w:val="nil"/>
                <w:left w:val="nil"/>
                <w:bottom w:val="nil"/>
                <w:right w:val="nil"/>
                <w:between w:val="nil"/>
              </w:pBdr>
              <w:suppressAutoHyphens w:val="0"/>
              <w:spacing w:after="160"/>
              <w:jc w:val="center"/>
              <w:rPr>
                <w:color w:val="000000"/>
                <w:sz w:val="20"/>
                <w:lang w:val="fr-FR"/>
              </w:rPr>
            </w:pPr>
          </w:p>
        </w:tc>
        <w:tc>
          <w:tcPr>
            <w:tcW w:w="1080" w:type="dxa"/>
            <w:tcBorders>
              <w:top w:val="single" w:sz="4" w:space="0" w:color="auto"/>
              <w:left w:val="nil"/>
              <w:bottom w:val="single" w:sz="4" w:space="0" w:color="auto"/>
              <w:right w:val="single" w:sz="4" w:space="0" w:color="auto"/>
            </w:tcBorders>
            <w:shd w:val="clear" w:color="auto" w:fill="auto"/>
            <w:noWrap/>
          </w:tcPr>
          <w:p w14:paraId="20FBCBD5" w14:textId="7CF229E6" w:rsidR="00963A02" w:rsidRPr="002D633A"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single" w:sz="4" w:space="0" w:color="auto"/>
              <w:left w:val="nil"/>
              <w:bottom w:val="single" w:sz="4" w:space="0" w:color="auto"/>
              <w:right w:val="single" w:sz="4" w:space="0" w:color="auto"/>
            </w:tcBorders>
            <w:shd w:val="clear" w:color="auto" w:fill="auto"/>
            <w:noWrap/>
          </w:tcPr>
          <w:p w14:paraId="76C7747B" w14:textId="0D226E67" w:rsidR="00963A02" w:rsidRPr="002D633A" w:rsidRDefault="00963A02" w:rsidP="00A46FB6">
            <w:pPr>
              <w:pBdr>
                <w:top w:val="nil"/>
                <w:left w:val="nil"/>
                <w:bottom w:val="nil"/>
                <w:right w:val="nil"/>
                <w:between w:val="nil"/>
              </w:pBdr>
              <w:suppressAutoHyphens w:val="0"/>
              <w:spacing w:after="160"/>
              <w:jc w:val="center"/>
              <w:rPr>
                <w:color w:val="000000"/>
                <w:sz w:val="20"/>
                <w:lang w:val="fr-FR"/>
              </w:rPr>
            </w:pPr>
          </w:p>
        </w:tc>
        <w:tc>
          <w:tcPr>
            <w:tcW w:w="1080" w:type="dxa"/>
            <w:tcBorders>
              <w:top w:val="single" w:sz="4" w:space="0" w:color="auto"/>
              <w:left w:val="nil"/>
              <w:bottom w:val="single" w:sz="4" w:space="0" w:color="auto"/>
              <w:right w:val="single" w:sz="4" w:space="0" w:color="auto"/>
            </w:tcBorders>
            <w:shd w:val="clear" w:color="auto" w:fill="auto"/>
            <w:noWrap/>
          </w:tcPr>
          <w:p w14:paraId="5CCC852C" w14:textId="65A1D983" w:rsidR="00963A02" w:rsidRPr="002D633A" w:rsidRDefault="00963A02" w:rsidP="00A46FB6">
            <w:pPr>
              <w:pBdr>
                <w:top w:val="nil"/>
                <w:left w:val="nil"/>
                <w:bottom w:val="nil"/>
                <w:right w:val="nil"/>
                <w:between w:val="nil"/>
              </w:pBdr>
              <w:suppressAutoHyphens w:val="0"/>
              <w:spacing w:after="160"/>
              <w:jc w:val="center"/>
              <w:rPr>
                <w:color w:val="000000"/>
                <w:sz w:val="20"/>
                <w:lang w:val="fr-FR"/>
              </w:rPr>
            </w:pPr>
          </w:p>
        </w:tc>
      </w:tr>
      <w:tr w:rsidR="00963A02" w:rsidRPr="00CD0F5A" w14:paraId="10C63F8E" w14:textId="77777777" w:rsidTr="00C33FD1">
        <w:trPr>
          <w:trHeight w:val="547"/>
        </w:trPr>
        <w:tc>
          <w:tcPr>
            <w:tcW w:w="5091" w:type="dxa"/>
            <w:tcBorders>
              <w:top w:val="single" w:sz="4" w:space="0" w:color="auto"/>
              <w:left w:val="single" w:sz="4" w:space="0" w:color="auto"/>
              <w:bottom w:val="single" w:sz="4" w:space="0" w:color="auto"/>
              <w:right w:val="single" w:sz="4" w:space="0" w:color="auto"/>
            </w:tcBorders>
            <w:shd w:val="clear" w:color="auto" w:fill="auto"/>
          </w:tcPr>
          <w:p w14:paraId="6CECC61C" w14:textId="22DC45D2" w:rsidR="002D633A" w:rsidRPr="002837A0" w:rsidRDefault="002D633A" w:rsidP="00A46FB6">
            <w:pPr>
              <w:pBdr>
                <w:top w:val="nil"/>
                <w:left w:val="nil"/>
                <w:bottom w:val="nil"/>
                <w:right w:val="nil"/>
                <w:between w:val="nil"/>
              </w:pBdr>
              <w:tabs>
                <w:tab w:val="left" w:pos="2295"/>
              </w:tabs>
              <w:suppressAutoHyphens w:val="0"/>
              <w:spacing w:after="160" w:line="259" w:lineRule="auto"/>
              <w:rPr>
                <w:sz w:val="20"/>
                <w:lang w:val="fr-FR"/>
              </w:rPr>
            </w:pPr>
            <w:r w:rsidRPr="002837A0">
              <w:rPr>
                <w:sz w:val="20"/>
                <w:lang w:val="fr-FR"/>
              </w:rPr>
              <w:t>Valeur du financement lié à l'agriculture obtenu grâce à l'aide de l'USDA</w:t>
            </w:r>
          </w:p>
        </w:tc>
        <w:tc>
          <w:tcPr>
            <w:tcW w:w="990" w:type="dxa"/>
            <w:tcBorders>
              <w:top w:val="single" w:sz="4" w:space="0" w:color="auto"/>
              <w:left w:val="nil"/>
              <w:bottom w:val="single" w:sz="4" w:space="0" w:color="auto"/>
              <w:right w:val="single" w:sz="4" w:space="0" w:color="auto"/>
            </w:tcBorders>
          </w:tcPr>
          <w:p w14:paraId="0BF85F48" w14:textId="77777777" w:rsidR="00963A02" w:rsidRPr="002D633A"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52791CED" w14:textId="3B7B805E" w:rsidR="00963A02" w:rsidRPr="002D633A"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single" w:sz="4" w:space="0" w:color="auto"/>
              <w:left w:val="nil"/>
              <w:bottom w:val="single" w:sz="4" w:space="0" w:color="auto"/>
              <w:right w:val="single" w:sz="4" w:space="0" w:color="auto"/>
            </w:tcBorders>
            <w:shd w:val="clear" w:color="auto" w:fill="auto"/>
            <w:noWrap/>
          </w:tcPr>
          <w:p w14:paraId="0B579A93" w14:textId="2DB74D6E" w:rsidR="00963A02" w:rsidRPr="002D633A" w:rsidRDefault="00963A02" w:rsidP="00A46FB6">
            <w:pPr>
              <w:pBdr>
                <w:top w:val="nil"/>
                <w:left w:val="nil"/>
                <w:bottom w:val="nil"/>
                <w:right w:val="nil"/>
                <w:between w:val="nil"/>
              </w:pBdr>
              <w:suppressAutoHyphens w:val="0"/>
              <w:spacing w:after="160"/>
              <w:jc w:val="center"/>
              <w:rPr>
                <w:color w:val="000000"/>
                <w:sz w:val="20"/>
                <w:lang w:val="fr-FR"/>
              </w:rPr>
            </w:pPr>
          </w:p>
        </w:tc>
        <w:tc>
          <w:tcPr>
            <w:tcW w:w="1080" w:type="dxa"/>
            <w:tcBorders>
              <w:top w:val="single" w:sz="4" w:space="0" w:color="auto"/>
              <w:left w:val="nil"/>
              <w:bottom w:val="single" w:sz="4" w:space="0" w:color="auto"/>
              <w:right w:val="single" w:sz="4" w:space="0" w:color="auto"/>
            </w:tcBorders>
            <w:shd w:val="clear" w:color="auto" w:fill="auto"/>
            <w:noWrap/>
          </w:tcPr>
          <w:p w14:paraId="3AD1B126" w14:textId="08AB465F" w:rsidR="00963A02" w:rsidRPr="002D633A" w:rsidRDefault="00963A02" w:rsidP="00A46FB6">
            <w:pPr>
              <w:pBdr>
                <w:top w:val="nil"/>
                <w:left w:val="nil"/>
                <w:bottom w:val="nil"/>
                <w:right w:val="nil"/>
                <w:between w:val="nil"/>
              </w:pBdr>
              <w:suppressAutoHyphens w:val="0"/>
              <w:spacing w:after="160"/>
              <w:jc w:val="center"/>
              <w:rPr>
                <w:color w:val="000000"/>
                <w:sz w:val="20"/>
                <w:lang w:val="fr-FR"/>
              </w:rPr>
            </w:pPr>
          </w:p>
        </w:tc>
        <w:tc>
          <w:tcPr>
            <w:tcW w:w="990" w:type="dxa"/>
            <w:tcBorders>
              <w:top w:val="single" w:sz="4" w:space="0" w:color="auto"/>
              <w:left w:val="nil"/>
              <w:bottom w:val="single" w:sz="4" w:space="0" w:color="auto"/>
              <w:right w:val="single" w:sz="4" w:space="0" w:color="auto"/>
            </w:tcBorders>
            <w:shd w:val="clear" w:color="auto" w:fill="auto"/>
            <w:noWrap/>
          </w:tcPr>
          <w:p w14:paraId="1985DE0B" w14:textId="6007072E" w:rsidR="00963A02" w:rsidRPr="002D633A" w:rsidRDefault="00963A02" w:rsidP="00A46FB6">
            <w:pPr>
              <w:pBdr>
                <w:top w:val="nil"/>
                <w:left w:val="nil"/>
                <w:bottom w:val="nil"/>
                <w:right w:val="nil"/>
                <w:between w:val="nil"/>
              </w:pBdr>
              <w:suppressAutoHyphens w:val="0"/>
              <w:spacing w:after="160"/>
              <w:jc w:val="center"/>
              <w:rPr>
                <w:color w:val="000000"/>
                <w:sz w:val="20"/>
                <w:lang w:val="fr-FR"/>
              </w:rPr>
            </w:pPr>
          </w:p>
        </w:tc>
        <w:tc>
          <w:tcPr>
            <w:tcW w:w="1080" w:type="dxa"/>
            <w:tcBorders>
              <w:top w:val="single" w:sz="4" w:space="0" w:color="auto"/>
              <w:left w:val="nil"/>
              <w:bottom w:val="single" w:sz="4" w:space="0" w:color="auto"/>
              <w:right w:val="single" w:sz="4" w:space="0" w:color="auto"/>
            </w:tcBorders>
            <w:shd w:val="clear" w:color="auto" w:fill="auto"/>
            <w:noWrap/>
          </w:tcPr>
          <w:p w14:paraId="3FA3FA4D" w14:textId="17C79E0D" w:rsidR="00963A02" w:rsidRPr="002D633A" w:rsidRDefault="00963A02" w:rsidP="00A46FB6">
            <w:pPr>
              <w:pBdr>
                <w:top w:val="nil"/>
                <w:left w:val="nil"/>
                <w:bottom w:val="nil"/>
                <w:right w:val="nil"/>
                <w:between w:val="nil"/>
              </w:pBdr>
              <w:suppressAutoHyphens w:val="0"/>
              <w:spacing w:after="160"/>
              <w:jc w:val="center"/>
              <w:rPr>
                <w:color w:val="000000"/>
                <w:sz w:val="20"/>
                <w:lang w:val="fr-FR"/>
              </w:rPr>
            </w:pPr>
          </w:p>
        </w:tc>
      </w:tr>
    </w:tbl>
    <w:p w14:paraId="7EBFA3DB" w14:textId="77777777" w:rsidR="00A15A75" w:rsidRPr="002D633A" w:rsidRDefault="00A15A75" w:rsidP="00F02FB0">
      <w:pPr>
        <w:pStyle w:val="bulletslevel1"/>
        <w:numPr>
          <w:ilvl w:val="0"/>
          <w:numId w:val="0"/>
        </w:numPr>
        <w:ind w:left="720"/>
        <w:rPr>
          <w:rStyle w:val="Heading2Char"/>
          <w:b w:val="0"/>
          <w:bCs/>
          <w:lang w:val="fr-FR"/>
        </w:rPr>
      </w:pPr>
    </w:p>
    <w:p w14:paraId="739E4D98" w14:textId="77777777" w:rsidR="00D913C1" w:rsidRPr="002837A0" w:rsidRDefault="00D913C1" w:rsidP="00F02FB0">
      <w:pPr>
        <w:pStyle w:val="bulletslevel1"/>
        <w:numPr>
          <w:ilvl w:val="0"/>
          <w:numId w:val="0"/>
        </w:numPr>
        <w:ind w:left="720"/>
        <w:rPr>
          <w:lang w:val="fr-FR"/>
        </w:rPr>
      </w:pPr>
    </w:p>
    <w:p w14:paraId="73A0F365" w14:textId="7865596B" w:rsidR="00576296" w:rsidRPr="002837A0" w:rsidRDefault="00576296" w:rsidP="00E71F16">
      <w:pPr>
        <w:pStyle w:val="ListParagraph"/>
        <w:pBdr>
          <w:top w:val="nil"/>
          <w:left w:val="nil"/>
          <w:bottom w:val="nil"/>
          <w:right w:val="nil"/>
          <w:between w:val="nil"/>
        </w:pBdr>
        <w:suppressAutoHyphens w:val="0"/>
        <w:ind w:left="1080" w:right="-540"/>
        <w:jc w:val="both"/>
        <w:rPr>
          <w:b/>
          <w:sz w:val="22"/>
          <w:szCs w:val="22"/>
          <w:lang w:val="fr-FR"/>
        </w:rPr>
      </w:pPr>
    </w:p>
    <w:p w14:paraId="2FC86F7A" w14:textId="77777777" w:rsidR="00CD0F5A" w:rsidRDefault="00CD0F5A">
      <w:pPr>
        <w:suppressAutoHyphens w:val="0"/>
        <w:spacing w:after="200" w:line="276" w:lineRule="auto"/>
        <w:rPr>
          <w:b/>
          <w:sz w:val="22"/>
          <w:szCs w:val="22"/>
          <w:lang w:val="fr-FR"/>
        </w:rPr>
      </w:pPr>
      <w:r>
        <w:rPr>
          <w:b/>
          <w:sz w:val="22"/>
          <w:szCs w:val="22"/>
          <w:lang w:val="fr-FR"/>
        </w:rPr>
        <w:br w:type="page"/>
      </w:r>
    </w:p>
    <w:p w14:paraId="40D8E6E5" w14:textId="77777777" w:rsidR="00CD0F5A" w:rsidRDefault="00CD0F5A" w:rsidP="00F3329B">
      <w:pPr>
        <w:pBdr>
          <w:top w:val="nil"/>
          <w:left w:val="nil"/>
          <w:bottom w:val="nil"/>
          <w:right w:val="nil"/>
          <w:between w:val="nil"/>
        </w:pBdr>
        <w:suppressAutoHyphens w:val="0"/>
        <w:ind w:right="-540"/>
        <w:jc w:val="both"/>
        <w:rPr>
          <w:b/>
          <w:sz w:val="22"/>
          <w:szCs w:val="22"/>
          <w:lang w:val="fr-FR"/>
        </w:rPr>
      </w:pPr>
    </w:p>
    <w:p w14:paraId="59DD635D" w14:textId="79EE2A47" w:rsidR="00F3329B" w:rsidRPr="002837A0" w:rsidRDefault="00F3329B" w:rsidP="00F3329B">
      <w:pPr>
        <w:pBdr>
          <w:top w:val="nil"/>
          <w:left w:val="nil"/>
          <w:bottom w:val="nil"/>
          <w:right w:val="nil"/>
          <w:between w:val="nil"/>
        </w:pBdr>
        <w:suppressAutoHyphens w:val="0"/>
        <w:ind w:right="-540"/>
        <w:jc w:val="both"/>
        <w:rPr>
          <w:b/>
          <w:sz w:val="22"/>
          <w:szCs w:val="22"/>
          <w:lang w:val="fr-FR"/>
        </w:rPr>
      </w:pPr>
      <w:r w:rsidRPr="002837A0">
        <w:rPr>
          <w:b/>
          <w:sz w:val="22"/>
          <w:szCs w:val="22"/>
          <w:lang w:val="fr-FR"/>
        </w:rPr>
        <w:t xml:space="preserve">II. SECTION: </w:t>
      </w:r>
      <w:r w:rsidR="00E71F16" w:rsidRPr="002837A0">
        <w:rPr>
          <w:b/>
          <w:sz w:val="22"/>
          <w:szCs w:val="22"/>
          <w:lang w:val="fr-FR"/>
        </w:rPr>
        <w:t>ELIGIBILITE</w:t>
      </w:r>
    </w:p>
    <w:p w14:paraId="1D39B9E2" w14:textId="77777777" w:rsidR="00F3329B" w:rsidRPr="002837A0" w:rsidRDefault="00F3329B" w:rsidP="00F3329B">
      <w:pPr>
        <w:pBdr>
          <w:top w:val="nil"/>
          <w:left w:val="nil"/>
          <w:bottom w:val="nil"/>
          <w:right w:val="nil"/>
          <w:between w:val="nil"/>
        </w:pBdr>
        <w:suppressAutoHyphens w:val="0"/>
        <w:ind w:right="-540"/>
        <w:jc w:val="both"/>
        <w:rPr>
          <w:sz w:val="22"/>
          <w:szCs w:val="22"/>
          <w:lang w:val="fr-FR"/>
        </w:rPr>
      </w:pPr>
    </w:p>
    <w:p w14:paraId="4A9CD770" w14:textId="55BC2A9F" w:rsidR="00F3329B" w:rsidRPr="002837A0" w:rsidRDefault="00F3329B" w:rsidP="00F3329B">
      <w:pPr>
        <w:pBdr>
          <w:top w:val="nil"/>
          <w:left w:val="nil"/>
          <w:bottom w:val="nil"/>
          <w:right w:val="nil"/>
          <w:between w:val="nil"/>
        </w:pBdr>
        <w:suppressAutoHyphens w:val="0"/>
        <w:ind w:right="-540"/>
        <w:jc w:val="both"/>
        <w:rPr>
          <w:sz w:val="22"/>
          <w:szCs w:val="22"/>
          <w:lang w:val="fr-FR"/>
        </w:rPr>
      </w:pPr>
      <w:r w:rsidRPr="002837A0">
        <w:rPr>
          <w:sz w:val="22"/>
          <w:szCs w:val="22"/>
          <w:lang w:val="fr-FR"/>
        </w:rPr>
        <w:t xml:space="preserve">IIA. </w:t>
      </w:r>
      <w:r w:rsidR="00E71F16" w:rsidRPr="002837A0">
        <w:rPr>
          <w:sz w:val="22"/>
          <w:szCs w:val="22"/>
          <w:lang w:val="fr-FR"/>
        </w:rPr>
        <w:t xml:space="preserve">  </w:t>
      </w:r>
      <w:r w:rsidRPr="002837A0">
        <w:rPr>
          <w:sz w:val="22"/>
          <w:szCs w:val="22"/>
          <w:lang w:val="fr-FR"/>
        </w:rPr>
        <w:t>Bénéficiaires éligibles</w:t>
      </w:r>
    </w:p>
    <w:p w14:paraId="7E01B056" w14:textId="77777777" w:rsidR="00F3329B" w:rsidRPr="002837A0" w:rsidRDefault="00F3329B" w:rsidP="00F3329B">
      <w:pPr>
        <w:pBdr>
          <w:top w:val="nil"/>
          <w:left w:val="nil"/>
          <w:bottom w:val="nil"/>
          <w:right w:val="nil"/>
          <w:between w:val="nil"/>
        </w:pBdr>
        <w:suppressAutoHyphens w:val="0"/>
        <w:ind w:right="-540"/>
        <w:jc w:val="both"/>
        <w:rPr>
          <w:sz w:val="22"/>
          <w:szCs w:val="22"/>
          <w:lang w:val="fr-FR"/>
        </w:rPr>
      </w:pPr>
      <w:r w:rsidRPr="002837A0">
        <w:rPr>
          <w:sz w:val="22"/>
          <w:szCs w:val="22"/>
          <w:lang w:val="fr-FR"/>
        </w:rPr>
        <w:t>Les demandeurs qui soumettent des demandes en réponse à cet appel de demandes doivent:</w:t>
      </w:r>
    </w:p>
    <w:p w14:paraId="21D6CC7A" w14:textId="59D57886" w:rsidR="00F3329B" w:rsidRPr="002837A0" w:rsidRDefault="00E71F16" w:rsidP="00E71F16">
      <w:pPr>
        <w:pStyle w:val="ListParagraph"/>
        <w:numPr>
          <w:ilvl w:val="0"/>
          <w:numId w:val="26"/>
        </w:numPr>
        <w:pBdr>
          <w:top w:val="nil"/>
          <w:left w:val="nil"/>
          <w:bottom w:val="nil"/>
          <w:right w:val="nil"/>
          <w:between w:val="nil"/>
        </w:pBdr>
        <w:suppressAutoHyphens w:val="0"/>
        <w:ind w:right="-540"/>
        <w:jc w:val="both"/>
        <w:rPr>
          <w:sz w:val="22"/>
          <w:szCs w:val="22"/>
          <w:lang w:val="fr-FR"/>
        </w:rPr>
      </w:pPr>
      <w:r w:rsidRPr="002837A0">
        <w:rPr>
          <w:sz w:val="22"/>
          <w:szCs w:val="22"/>
          <w:lang w:val="fr-FR"/>
        </w:rPr>
        <w:t xml:space="preserve">Être légalement </w:t>
      </w:r>
      <w:r w:rsidR="005674A9" w:rsidRPr="002837A0">
        <w:rPr>
          <w:sz w:val="22"/>
          <w:szCs w:val="22"/>
          <w:lang w:val="fr-FR"/>
        </w:rPr>
        <w:t>enregistré</w:t>
      </w:r>
      <w:r w:rsidR="00F3329B" w:rsidRPr="002837A0">
        <w:rPr>
          <w:sz w:val="22"/>
          <w:szCs w:val="22"/>
          <w:lang w:val="fr-FR"/>
        </w:rPr>
        <w:t xml:space="preserve"> en tant qu'entreprise privée nationale:</w:t>
      </w:r>
    </w:p>
    <w:p w14:paraId="486F3A43" w14:textId="060734AE" w:rsidR="00F3329B" w:rsidRPr="002837A0" w:rsidRDefault="00E71F16" w:rsidP="00E71F16">
      <w:pPr>
        <w:pBdr>
          <w:top w:val="nil"/>
          <w:left w:val="nil"/>
          <w:bottom w:val="nil"/>
          <w:right w:val="nil"/>
          <w:between w:val="nil"/>
        </w:pBdr>
        <w:suppressAutoHyphens w:val="0"/>
        <w:ind w:left="720" w:right="-540"/>
        <w:jc w:val="both"/>
        <w:rPr>
          <w:sz w:val="22"/>
          <w:szCs w:val="22"/>
          <w:lang w:val="fr-FR"/>
        </w:rPr>
      </w:pPr>
      <w:r w:rsidRPr="002837A0">
        <w:rPr>
          <w:sz w:val="22"/>
          <w:szCs w:val="22"/>
          <w:lang w:val="fr-FR"/>
        </w:rPr>
        <w:t xml:space="preserve">-  </w:t>
      </w:r>
      <w:r w:rsidR="00F3329B" w:rsidRPr="002837A0">
        <w:rPr>
          <w:sz w:val="22"/>
          <w:szCs w:val="22"/>
          <w:lang w:val="fr-FR"/>
        </w:rPr>
        <w:t>En Côte d’Ivoire, en tant que Société Anonyme (S.A.)</w:t>
      </w:r>
    </w:p>
    <w:p w14:paraId="6E1B034A" w14:textId="3C9776AC" w:rsidR="00F3329B" w:rsidRPr="002837A0" w:rsidRDefault="00E71F16" w:rsidP="00F3329B">
      <w:pPr>
        <w:pBdr>
          <w:top w:val="nil"/>
          <w:left w:val="nil"/>
          <w:bottom w:val="nil"/>
          <w:right w:val="nil"/>
          <w:between w:val="nil"/>
        </w:pBdr>
        <w:suppressAutoHyphens w:val="0"/>
        <w:ind w:right="-540"/>
        <w:jc w:val="both"/>
        <w:rPr>
          <w:sz w:val="22"/>
          <w:szCs w:val="22"/>
          <w:lang w:val="fr-FR"/>
        </w:rPr>
      </w:pPr>
      <w:r w:rsidRPr="002837A0">
        <w:rPr>
          <w:sz w:val="22"/>
          <w:szCs w:val="22"/>
          <w:lang w:val="fr-FR"/>
        </w:rPr>
        <w:t xml:space="preserve">             </w:t>
      </w:r>
      <w:r w:rsidR="00F3329B" w:rsidRPr="002837A0">
        <w:rPr>
          <w:sz w:val="22"/>
          <w:szCs w:val="22"/>
          <w:lang w:val="fr-FR"/>
        </w:rPr>
        <w:t xml:space="preserve">- </w:t>
      </w:r>
      <w:r w:rsidRPr="002837A0">
        <w:rPr>
          <w:sz w:val="22"/>
          <w:szCs w:val="22"/>
          <w:lang w:val="fr-FR"/>
        </w:rPr>
        <w:t xml:space="preserve"> </w:t>
      </w:r>
      <w:r w:rsidR="00F3329B" w:rsidRPr="002837A0">
        <w:rPr>
          <w:sz w:val="22"/>
          <w:szCs w:val="22"/>
          <w:lang w:val="fr-FR"/>
        </w:rPr>
        <w:t xml:space="preserve">Au Ghana, en tant qu'entreprise </w:t>
      </w:r>
      <w:r w:rsidRPr="002837A0">
        <w:rPr>
          <w:sz w:val="22"/>
          <w:szCs w:val="22"/>
          <w:lang w:val="fr-FR"/>
        </w:rPr>
        <w:t xml:space="preserve">titulaire d’un </w:t>
      </w:r>
      <w:r w:rsidR="00F3329B" w:rsidRPr="002837A0">
        <w:rPr>
          <w:sz w:val="22"/>
          <w:szCs w:val="22"/>
          <w:lang w:val="fr-FR"/>
        </w:rPr>
        <w:t>certificat de constitution délivré</w:t>
      </w:r>
    </w:p>
    <w:p w14:paraId="3C6AB841" w14:textId="74CF554F" w:rsidR="00F3329B" w:rsidRPr="002837A0" w:rsidRDefault="00E71F16" w:rsidP="00CD0F5A">
      <w:pPr>
        <w:pBdr>
          <w:top w:val="nil"/>
          <w:left w:val="nil"/>
          <w:bottom w:val="nil"/>
          <w:right w:val="nil"/>
          <w:between w:val="nil"/>
        </w:pBdr>
        <w:suppressAutoHyphens w:val="0"/>
        <w:ind w:left="900" w:right="-540" w:hanging="900"/>
        <w:jc w:val="both"/>
        <w:rPr>
          <w:sz w:val="22"/>
          <w:szCs w:val="22"/>
          <w:lang w:val="fr-FR"/>
        </w:rPr>
      </w:pPr>
      <w:r w:rsidRPr="002837A0">
        <w:rPr>
          <w:sz w:val="22"/>
          <w:szCs w:val="22"/>
          <w:lang w:val="fr-FR"/>
        </w:rPr>
        <w:t xml:space="preserve">             </w:t>
      </w:r>
      <w:r w:rsidR="00F3329B" w:rsidRPr="002837A0">
        <w:rPr>
          <w:sz w:val="22"/>
          <w:szCs w:val="22"/>
          <w:lang w:val="fr-FR"/>
        </w:rPr>
        <w:t xml:space="preserve">- </w:t>
      </w:r>
      <w:r w:rsidRPr="002837A0">
        <w:rPr>
          <w:sz w:val="22"/>
          <w:szCs w:val="22"/>
          <w:lang w:val="fr-FR"/>
        </w:rPr>
        <w:t xml:space="preserve"> </w:t>
      </w:r>
      <w:r w:rsidR="00F3329B" w:rsidRPr="002837A0">
        <w:rPr>
          <w:sz w:val="22"/>
          <w:szCs w:val="22"/>
          <w:lang w:val="fr-FR"/>
        </w:rPr>
        <w:t xml:space="preserve">Au Nigéria, en tant que société à responsabilité limitée (Ltd), </w:t>
      </w:r>
      <w:r w:rsidRPr="002837A0">
        <w:rPr>
          <w:sz w:val="22"/>
          <w:szCs w:val="22"/>
          <w:lang w:val="fr-FR"/>
        </w:rPr>
        <w:t xml:space="preserve">titulaire d’un certificat de </w:t>
      </w:r>
      <w:r w:rsidR="00F3329B" w:rsidRPr="002837A0">
        <w:rPr>
          <w:sz w:val="22"/>
          <w:szCs w:val="22"/>
          <w:lang w:val="fr-FR"/>
        </w:rPr>
        <w:t xml:space="preserve">constitution </w:t>
      </w:r>
      <w:r w:rsidRPr="002837A0">
        <w:rPr>
          <w:sz w:val="22"/>
          <w:szCs w:val="22"/>
          <w:lang w:val="fr-FR"/>
        </w:rPr>
        <w:t>délivré</w:t>
      </w:r>
      <w:r w:rsidR="00CD0F5A">
        <w:rPr>
          <w:sz w:val="22"/>
          <w:szCs w:val="22"/>
          <w:lang w:val="fr-FR"/>
        </w:rPr>
        <w:t xml:space="preserve"> par l’autorité compétente.</w:t>
      </w:r>
    </w:p>
    <w:p w14:paraId="3B7AFFFB" w14:textId="77777777" w:rsidR="00E71F16" w:rsidRPr="002837A0" w:rsidRDefault="00E71F16" w:rsidP="00E71F16">
      <w:pPr>
        <w:pBdr>
          <w:top w:val="nil"/>
          <w:left w:val="nil"/>
          <w:bottom w:val="nil"/>
          <w:right w:val="nil"/>
          <w:between w:val="nil"/>
        </w:pBdr>
        <w:suppressAutoHyphens w:val="0"/>
        <w:ind w:right="-540"/>
        <w:jc w:val="both"/>
        <w:rPr>
          <w:sz w:val="22"/>
          <w:szCs w:val="22"/>
          <w:lang w:val="fr-FR"/>
        </w:rPr>
      </w:pPr>
    </w:p>
    <w:p w14:paraId="4CA4BAF2" w14:textId="6E27DDEE" w:rsidR="00E71F16" w:rsidRPr="002837A0" w:rsidRDefault="00E71F16" w:rsidP="00E71F16">
      <w:pPr>
        <w:pStyle w:val="ListParagraph"/>
        <w:numPr>
          <w:ilvl w:val="0"/>
          <w:numId w:val="26"/>
        </w:numPr>
        <w:pBdr>
          <w:top w:val="nil"/>
          <w:left w:val="nil"/>
          <w:bottom w:val="nil"/>
          <w:right w:val="nil"/>
          <w:between w:val="nil"/>
        </w:pBdr>
        <w:suppressAutoHyphens w:val="0"/>
        <w:ind w:right="-540"/>
        <w:jc w:val="both"/>
        <w:rPr>
          <w:sz w:val="22"/>
          <w:szCs w:val="22"/>
          <w:lang w:val="fr-FR"/>
        </w:rPr>
      </w:pPr>
      <w:r w:rsidRPr="002837A0">
        <w:rPr>
          <w:sz w:val="22"/>
          <w:szCs w:val="22"/>
          <w:lang w:val="fr-FR"/>
        </w:rPr>
        <w:t xml:space="preserve">Être une usine de transformation de noix de cajou ayant acheté un minimum de 5 000 </w:t>
      </w:r>
      <w:r w:rsidR="006D3EEE" w:rsidRPr="002837A0">
        <w:rPr>
          <w:sz w:val="22"/>
          <w:szCs w:val="22"/>
          <w:lang w:val="fr-FR"/>
        </w:rPr>
        <w:t xml:space="preserve">TM </w:t>
      </w:r>
      <w:r w:rsidRPr="002837A0">
        <w:rPr>
          <w:sz w:val="22"/>
          <w:szCs w:val="22"/>
          <w:lang w:val="fr-FR"/>
        </w:rPr>
        <w:t xml:space="preserve"> de NCB l'année dernière</w:t>
      </w:r>
    </w:p>
    <w:p w14:paraId="06216567" w14:textId="77777777" w:rsidR="006D3EEE" w:rsidRPr="002837A0" w:rsidRDefault="006D3EEE" w:rsidP="006D3EEE">
      <w:pPr>
        <w:pBdr>
          <w:top w:val="nil"/>
          <w:left w:val="nil"/>
          <w:bottom w:val="nil"/>
          <w:right w:val="nil"/>
          <w:between w:val="nil"/>
        </w:pBdr>
        <w:suppressAutoHyphens w:val="0"/>
        <w:ind w:left="930" w:right="-540"/>
        <w:jc w:val="both"/>
        <w:rPr>
          <w:sz w:val="22"/>
          <w:szCs w:val="22"/>
          <w:lang w:val="fr-FR"/>
        </w:rPr>
      </w:pPr>
      <w:r w:rsidRPr="002837A0">
        <w:rPr>
          <w:sz w:val="22"/>
          <w:szCs w:val="22"/>
          <w:lang w:val="fr-FR"/>
        </w:rPr>
        <w:t>- A défaut d’avoir rempli ces conditions</w:t>
      </w:r>
      <w:r w:rsidR="00E71F16" w:rsidRPr="002837A0">
        <w:rPr>
          <w:sz w:val="22"/>
          <w:szCs w:val="22"/>
          <w:lang w:val="fr-FR"/>
        </w:rPr>
        <w:t xml:space="preserve"> l'année dernière</w:t>
      </w:r>
      <w:r w:rsidRPr="002837A0">
        <w:rPr>
          <w:sz w:val="22"/>
          <w:szCs w:val="22"/>
          <w:lang w:val="fr-FR"/>
        </w:rPr>
        <w:t xml:space="preserve">, </w:t>
      </w:r>
      <w:r w:rsidR="00E71F16" w:rsidRPr="002837A0">
        <w:rPr>
          <w:sz w:val="22"/>
          <w:szCs w:val="22"/>
          <w:lang w:val="fr-FR"/>
        </w:rPr>
        <w:t xml:space="preserve"> </w:t>
      </w:r>
      <w:r w:rsidRPr="002837A0">
        <w:rPr>
          <w:sz w:val="22"/>
          <w:szCs w:val="22"/>
          <w:lang w:val="fr-FR"/>
        </w:rPr>
        <w:t>2019 étant l’année de démarrage</w:t>
      </w:r>
      <w:r w:rsidR="00E71F16" w:rsidRPr="002837A0">
        <w:rPr>
          <w:sz w:val="22"/>
          <w:szCs w:val="22"/>
          <w:lang w:val="fr-FR"/>
        </w:rPr>
        <w:t xml:space="preserve"> une </w:t>
      </w:r>
      <w:r w:rsidRPr="002837A0">
        <w:rPr>
          <w:sz w:val="22"/>
          <w:szCs w:val="22"/>
          <w:lang w:val="fr-FR"/>
        </w:rPr>
        <w:t xml:space="preserve">      </w:t>
      </w:r>
      <w:r w:rsidR="00E71F16" w:rsidRPr="002837A0">
        <w:rPr>
          <w:sz w:val="22"/>
          <w:szCs w:val="22"/>
          <w:lang w:val="fr-FR"/>
        </w:rPr>
        <w:t xml:space="preserve">capacité de production démontrée d'un minimum de 5000 </w:t>
      </w:r>
      <w:r w:rsidRPr="002837A0">
        <w:rPr>
          <w:sz w:val="22"/>
          <w:szCs w:val="22"/>
          <w:lang w:val="fr-FR"/>
        </w:rPr>
        <w:t>TM</w:t>
      </w:r>
      <w:r w:rsidR="00E71F16" w:rsidRPr="002837A0">
        <w:rPr>
          <w:sz w:val="22"/>
          <w:szCs w:val="22"/>
          <w:lang w:val="fr-FR"/>
        </w:rPr>
        <w:t xml:space="preserve"> et une première transformation de 2500 </w:t>
      </w:r>
      <w:r w:rsidRPr="002837A0">
        <w:rPr>
          <w:sz w:val="22"/>
          <w:szCs w:val="22"/>
          <w:lang w:val="fr-FR"/>
        </w:rPr>
        <w:t>TM</w:t>
      </w:r>
    </w:p>
    <w:p w14:paraId="07D99588" w14:textId="748D463D" w:rsidR="00002156" w:rsidRPr="002837A0" w:rsidRDefault="006D3EEE" w:rsidP="006D3EEE">
      <w:pPr>
        <w:pBdr>
          <w:top w:val="nil"/>
          <w:left w:val="nil"/>
          <w:bottom w:val="nil"/>
          <w:right w:val="nil"/>
          <w:between w:val="nil"/>
        </w:pBdr>
        <w:suppressAutoHyphens w:val="0"/>
        <w:ind w:left="930" w:right="-540"/>
        <w:jc w:val="both"/>
        <w:rPr>
          <w:sz w:val="22"/>
          <w:szCs w:val="22"/>
          <w:lang w:val="fr-FR"/>
        </w:rPr>
      </w:pPr>
      <w:r w:rsidRPr="002837A0">
        <w:rPr>
          <w:sz w:val="22"/>
          <w:szCs w:val="22"/>
          <w:lang w:val="fr-FR"/>
        </w:rPr>
        <w:t xml:space="preserve">-   </w:t>
      </w:r>
      <w:r w:rsidR="00E71F16" w:rsidRPr="002837A0">
        <w:rPr>
          <w:sz w:val="22"/>
          <w:szCs w:val="22"/>
          <w:lang w:val="fr-FR"/>
        </w:rPr>
        <w:t>Si l'entreprise est une nouvelle usine de transformation de noix de cajou, une capacité de production et une capacité financière démontrées pour tester 2 500 tonnes la première année et passer à un minimum de 5 000 tonnes la deuxième année.</w:t>
      </w:r>
    </w:p>
    <w:p w14:paraId="67BDA60E" w14:textId="77777777" w:rsidR="00BD365F" w:rsidRPr="002837A0" w:rsidRDefault="006D3EEE" w:rsidP="006D3EEE">
      <w:pPr>
        <w:pStyle w:val="ListParagraph"/>
        <w:numPr>
          <w:ilvl w:val="0"/>
          <w:numId w:val="26"/>
        </w:numPr>
        <w:pBdr>
          <w:top w:val="nil"/>
          <w:left w:val="nil"/>
          <w:bottom w:val="nil"/>
          <w:right w:val="nil"/>
          <w:between w:val="nil"/>
        </w:pBdr>
        <w:suppressAutoHyphens w:val="0"/>
        <w:spacing w:after="160"/>
        <w:jc w:val="both"/>
        <w:rPr>
          <w:bCs/>
          <w:sz w:val="22"/>
          <w:szCs w:val="22"/>
          <w:lang w:val="fr-FR"/>
        </w:rPr>
      </w:pPr>
      <w:r w:rsidRPr="002837A0">
        <w:rPr>
          <w:bCs/>
          <w:sz w:val="22"/>
          <w:szCs w:val="22"/>
          <w:lang w:val="fr-FR"/>
        </w:rPr>
        <w:t xml:space="preserve">Être une usine de transformation de noix de cajou certifiée HACCP (Hazard Analysis Critical Control Points). </w:t>
      </w:r>
      <w:r w:rsidR="00BD365F" w:rsidRPr="002837A0">
        <w:rPr>
          <w:bCs/>
          <w:sz w:val="22"/>
          <w:szCs w:val="22"/>
          <w:lang w:val="fr-FR"/>
        </w:rPr>
        <w:t>A défaut</w:t>
      </w:r>
      <w:r w:rsidRPr="002837A0">
        <w:rPr>
          <w:bCs/>
          <w:sz w:val="22"/>
          <w:szCs w:val="22"/>
          <w:lang w:val="fr-FR"/>
        </w:rPr>
        <w:t>, av</w:t>
      </w:r>
      <w:r w:rsidR="00BD365F" w:rsidRPr="002837A0">
        <w:rPr>
          <w:bCs/>
          <w:sz w:val="22"/>
          <w:szCs w:val="22"/>
          <w:lang w:val="fr-FR"/>
        </w:rPr>
        <w:t>oir</w:t>
      </w:r>
      <w:r w:rsidRPr="002837A0">
        <w:rPr>
          <w:bCs/>
          <w:sz w:val="22"/>
          <w:szCs w:val="22"/>
          <w:lang w:val="fr-FR"/>
        </w:rPr>
        <w:t xml:space="preserve"> un plan </w:t>
      </w:r>
      <w:r w:rsidR="00BD365F" w:rsidRPr="002837A0">
        <w:rPr>
          <w:bCs/>
          <w:sz w:val="22"/>
          <w:szCs w:val="22"/>
          <w:lang w:val="fr-FR"/>
        </w:rPr>
        <w:t>avéré</w:t>
      </w:r>
      <w:r w:rsidRPr="002837A0">
        <w:rPr>
          <w:bCs/>
          <w:sz w:val="22"/>
          <w:szCs w:val="22"/>
          <w:lang w:val="fr-FR"/>
        </w:rPr>
        <w:t xml:space="preserve"> </w:t>
      </w:r>
      <w:r w:rsidR="00BD365F" w:rsidRPr="002837A0">
        <w:rPr>
          <w:bCs/>
          <w:sz w:val="22"/>
          <w:szCs w:val="22"/>
          <w:lang w:val="fr-FR"/>
        </w:rPr>
        <w:t>de modification de</w:t>
      </w:r>
      <w:r w:rsidRPr="002837A0">
        <w:rPr>
          <w:bCs/>
          <w:sz w:val="22"/>
          <w:szCs w:val="22"/>
          <w:lang w:val="fr-FR"/>
        </w:rPr>
        <w:t xml:space="preserve"> </w:t>
      </w:r>
      <w:r w:rsidR="00BD365F" w:rsidRPr="002837A0">
        <w:rPr>
          <w:bCs/>
          <w:sz w:val="22"/>
          <w:szCs w:val="22"/>
          <w:lang w:val="fr-FR"/>
        </w:rPr>
        <w:t>la présente usine</w:t>
      </w:r>
      <w:r w:rsidRPr="002837A0">
        <w:rPr>
          <w:bCs/>
          <w:sz w:val="22"/>
          <w:szCs w:val="22"/>
          <w:lang w:val="fr-FR"/>
        </w:rPr>
        <w:t xml:space="preserve"> et / ou </w:t>
      </w:r>
      <w:r w:rsidR="00BD365F" w:rsidRPr="002837A0">
        <w:rPr>
          <w:bCs/>
          <w:sz w:val="22"/>
          <w:szCs w:val="22"/>
          <w:lang w:val="fr-FR"/>
        </w:rPr>
        <w:t>de construction d’</w:t>
      </w:r>
      <w:r w:rsidRPr="002837A0">
        <w:rPr>
          <w:bCs/>
          <w:sz w:val="22"/>
          <w:szCs w:val="22"/>
          <w:lang w:val="fr-FR"/>
        </w:rPr>
        <w:t xml:space="preserve">une autre usine qui </w:t>
      </w:r>
      <w:r w:rsidR="00BD365F" w:rsidRPr="002837A0">
        <w:rPr>
          <w:bCs/>
          <w:sz w:val="22"/>
          <w:szCs w:val="22"/>
          <w:lang w:val="fr-FR"/>
        </w:rPr>
        <w:t xml:space="preserve">répondra aux </w:t>
      </w:r>
      <w:r w:rsidRPr="002837A0">
        <w:rPr>
          <w:bCs/>
          <w:sz w:val="22"/>
          <w:szCs w:val="22"/>
          <w:lang w:val="fr-FR"/>
        </w:rPr>
        <w:t xml:space="preserve"> norme</w:t>
      </w:r>
      <w:r w:rsidR="00BD365F" w:rsidRPr="002837A0">
        <w:rPr>
          <w:bCs/>
          <w:sz w:val="22"/>
          <w:szCs w:val="22"/>
          <w:lang w:val="fr-FR"/>
        </w:rPr>
        <w:t>s</w:t>
      </w:r>
      <w:r w:rsidRPr="002837A0">
        <w:rPr>
          <w:bCs/>
          <w:sz w:val="22"/>
          <w:szCs w:val="22"/>
          <w:lang w:val="fr-FR"/>
        </w:rPr>
        <w:t xml:space="preserve"> HACCP.</w:t>
      </w:r>
    </w:p>
    <w:p w14:paraId="5AC44D79" w14:textId="77777777" w:rsidR="00BD365F" w:rsidRPr="002837A0" w:rsidRDefault="006D3EEE" w:rsidP="006D3EEE">
      <w:pPr>
        <w:pStyle w:val="ListParagraph"/>
        <w:numPr>
          <w:ilvl w:val="0"/>
          <w:numId w:val="26"/>
        </w:numPr>
        <w:pBdr>
          <w:top w:val="nil"/>
          <w:left w:val="nil"/>
          <w:bottom w:val="nil"/>
          <w:right w:val="nil"/>
          <w:between w:val="nil"/>
        </w:pBdr>
        <w:suppressAutoHyphens w:val="0"/>
        <w:spacing w:after="160"/>
        <w:jc w:val="both"/>
        <w:rPr>
          <w:bCs/>
          <w:sz w:val="22"/>
          <w:szCs w:val="22"/>
          <w:lang w:val="fr-FR"/>
        </w:rPr>
      </w:pPr>
      <w:r w:rsidRPr="002837A0">
        <w:rPr>
          <w:bCs/>
          <w:sz w:val="22"/>
          <w:szCs w:val="22"/>
          <w:lang w:val="fr-FR"/>
        </w:rPr>
        <w:t>Être une usine de transformation de noix de cajou certifiée British Retail Consortium (BRC) ou en cours de certification BRC dans les 6 prochains mois (ou son équivalent pour l'UE, ISO 22 000).</w:t>
      </w:r>
    </w:p>
    <w:p w14:paraId="186F84CC" w14:textId="77777777" w:rsidR="00584EB7" w:rsidRPr="002837A0" w:rsidRDefault="006D3EEE" w:rsidP="006D3EEE">
      <w:pPr>
        <w:pStyle w:val="ListParagraph"/>
        <w:numPr>
          <w:ilvl w:val="0"/>
          <w:numId w:val="26"/>
        </w:numPr>
        <w:pBdr>
          <w:top w:val="nil"/>
          <w:left w:val="nil"/>
          <w:bottom w:val="nil"/>
          <w:right w:val="nil"/>
          <w:between w:val="nil"/>
        </w:pBdr>
        <w:suppressAutoHyphens w:val="0"/>
        <w:spacing w:after="160"/>
        <w:jc w:val="both"/>
        <w:rPr>
          <w:bCs/>
          <w:sz w:val="22"/>
          <w:szCs w:val="22"/>
          <w:lang w:val="fr-FR"/>
        </w:rPr>
      </w:pPr>
      <w:r w:rsidRPr="002837A0">
        <w:rPr>
          <w:bCs/>
          <w:sz w:val="22"/>
          <w:szCs w:val="22"/>
          <w:lang w:val="fr-FR"/>
        </w:rPr>
        <w:t xml:space="preserve">Être une usine de transformation de noix de cajou </w:t>
      </w:r>
      <w:r w:rsidR="00BD365F" w:rsidRPr="002837A0">
        <w:rPr>
          <w:bCs/>
          <w:sz w:val="22"/>
          <w:szCs w:val="22"/>
          <w:lang w:val="fr-FR"/>
        </w:rPr>
        <w:t>ayant une relation avec un acheteur Américain (acheteur A</w:t>
      </w:r>
      <w:r w:rsidRPr="002837A0">
        <w:rPr>
          <w:bCs/>
          <w:sz w:val="22"/>
          <w:szCs w:val="22"/>
          <w:lang w:val="fr-FR"/>
        </w:rPr>
        <w:t xml:space="preserve">méricain </w:t>
      </w:r>
      <w:r w:rsidR="00BD365F" w:rsidRPr="002837A0">
        <w:rPr>
          <w:bCs/>
          <w:sz w:val="22"/>
          <w:szCs w:val="22"/>
          <w:lang w:val="fr-FR"/>
        </w:rPr>
        <w:t>d’amandes ou acheteur A</w:t>
      </w:r>
      <w:r w:rsidRPr="002837A0">
        <w:rPr>
          <w:bCs/>
          <w:sz w:val="22"/>
          <w:szCs w:val="22"/>
          <w:lang w:val="fr-FR"/>
        </w:rPr>
        <w:t xml:space="preserve">méricain </w:t>
      </w:r>
      <w:r w:rsidR="00BD365F" w:rsidRPr="002837A0">
        <w:rPr>
          <w:bCs/>
          <w:sz w:val="22"/>
          <w:szCs w:val="22"/>
          <w:lang w:val="fr-FR"/>
        </w:rPr>
        <w:t>de NCB</w:t>
      </w:r>
      <w:r w:rsidRPr="002837A0">
        <w:rPr>
          <w:bCs/>
          <w:sz w:val="22"/>
          <w:szCs w:val="22"/>
          <w:lang w:val="fr-FR"/>
        </w:rPr>
        <w:t>). Cette exigence ne doit pas nécessairement être un accord d'achat exclusif, d'autres acheteurs internationaux peuvent faire partie de la base de clients de l'usine de transformation de la noix de cajou. En tant que projet financé par les États-Unis, PRO-Cashew encourage et privilé</w:t>
      </w:r>
      <w:r w:rsidR="00584EB7" w:rsidRPr="002837A0">
        <w:rPr>
          <w:bCs/>
          <w:sz w:val="22"/>
          <w:szCs w:val="22"/>
          <w:lang w:val="fr-FR"/>
        </w:rPr>
        <w:t>gie le partenariat d'acheteurs A</w:t>
      </w:r>
      <w:r w:rsidRPr="002837A0">
        <w:rPr>
          <w:bCs/>
          <w:sz w:val="22"/>
          <w:szCs w:val="22"/>
          <w:lang w:val="fr-FR"/>
        </w:rPr>
        <w:t>méricains.</w:t>
      </w:r>
    </w:p>
    <w:p w14:paraId="752D9FE2" w14:textId="6580C825" w:rsidR="002D5031" w:rsidRPr="002837A0" w:rsidRDefault="006D3EEE" w:rsidP="006D3EEE">
      <w:pPr>
        <w:pStyle w:val="ListParagraph"/>
        <w:numPr>
          <w:ilvl w:val="0"/>
          <w:numId w:val="26"/>
        </w:numPr>
        <w:pBdr>
          <w:top w:val="nil"/>
          <w:left w:val="nil"/>
          <w:bottom w:val="nil"/>
          <w:right w:val="nil"/>
          <w:between w:val="nil"/>
        </w:pBdr>
        <w:suppressAutoHyphens w:val="0"/>
        <w:spacing w:after="160"/>
        <w:jc w:val="both"/>
        <w:rPr>
          <w:bCs/>
          <w:sz w:val="22"/>
          <w:szCs w:val="22"/>
          <w:lang w:val="fr-FR"/>
        </w:rPr>
      </w:pPr>
      <w:r w:rsidRPr="002837A0">
        <w:rPr>
          <w:bCs/>
          <w:sz w:val="22"/>
          <w:szCs w:val="22"/>
          <w:lang w:val="fr-FR"/>
        </w:rPr>
        <w:t>Être situé dans les zones ciblées PRO-Cashew. Ce premier appel de demandes de subventions de vulgarisation agricole limitera ses activités à la Côte d’Ivoire, au Ghana et au Nigéria. Les régions spécifiques pour la Côte d’Ivoire et le Ghana, et les États pour le Nigéria sont les suivants:</w:t>
      </w:r>
    </w:p>
    <w:p w14:paraId="16C9DDFA" w14:textId="5F41AA42" w:rsidR="00E533C4" w:rsidRPr="002837A0" w:rsidRDefault="00E533C4" w:rsidP="002D5031">
      <w:pPr>
        <w:pBdr>
          <w:top w:val="nil"/>
          <w:left w:val="nil"/>
          <w:bottom w:val="nil"/>
          <w:right w:val="nil"/>
          <w:between w:val="nil"/>
        </w:pBdr>
        <w:suppressAutoHyphens w:val="0"/>
        <w:spacing w:after="160"/>
        <w:ind w:left="720"/>
        <w:jc w:val="both"/>
        <w:rPr>
          <w:bCs/>
          <w:sz w:val="22"/>
          <w:szCs w:val="22"/>
        </w:rPr>
      </w:pPr>
      <w:r w:rsidRPr="002837A0">
        <w:rPr>
          <w:bCs/>
          <w:sz w:val="22"/>
          <w:szCs w:val="22"/>
        </w:rPr>
        <w:t>Country</w:t>
      </w:r>
      <w:r w:rsidRPr="002837A0">
        <w:rPr>
          <w:bCs/>
          <w:sz w:val="22"/>
          <w:szCs w:val="22"/>
        </w:rPr>
        <w:tab/>
        <w:t>Target Areas</w:t>
      </w:r>
    </w:p>
    <w:p w14:paraId="59557AA3" w14:textId="1BA73E3C" w:rsidR="00E533C4" w:rsidRPr="002837A0" w:rsidRDefault="00E533C4" w:rsidP="002D5031">
      <w:pPr>
        <w:pBdr>
          <w:top w:val="nil"/>
          <w:left w:val="nil"/>
          <w:bottom w:val="nil"/>
          <w:right w:val="nil"/>
          <w:between w:val="nil"/>
        </w:pBdr>
        <w:suppressAutoHyphens w:val="0"/>
        <w:spacing w:after="160"/>
        <w:ind w:left="720"/>
        <w:jc w:val="both"/>
        <w:rPr>
          <w:sz w:val="22"/>
          <w:szCs w:val="22"/>
        </w:rPr>
      </w:pPr>
      <w:r w:rsidRPr="002837A0">
        <w:rPr>
          <w:sz w:val="22"/>
          <w:szCs w:val="22"/>
        </w:rPr>
        <w:t>Cote D’Ivoire</w:t>
      </w:r>
      <w:r w:rsidRPr="002837A0">
        <w:rPr>
          <w:sz w:val="22"/>
          <w:szCs w:val="22"/>
        </w:rPr>
        <w:tab/>
        <w:t>Régions</w:t>
      </w:r>
      <w:r w:rsidR="00584EB7" w:rsidRPr="002837A0">
        <w:rPr>
          <w:sz w:val="22"/>
          <w:szCs w:val="22"/>
        </w:rPr>
        <w:t>:</w:t>
      </w:r>
      <w:r w:rsidRPr="002837A0">
        <w:rPr>
          <w:sz w:val="22"/>
          <w:szCs w:val="22"/>
        </w:rPr>
        <w:t xml:space="preserve"> </w:t>
      </w:r>
      <w:r w:rsidR="00584EB7" w:rsidRPr="002837A0">
        <w:rPr>
          <w:sz w:val="22"/>
          <w:szCs w:val="22"/>
        </w:rPr>
        <w:t xml:space="preserve">  </w:t>
      </w:r>
      <w:r w:rsidRPr="002837A0">
        <w:rPr>
          <w:sz w:val="22"/>
          <w:szCs w:val="22"/>
        </w:rPr>
        <w:t>Gontougo, Hambol, Béré, Gbéké, Marahoué, Boukane, Poro</w:t>
      </w:r>
    </w:p>
    <w:p w14:paraId="3F4EAF9C" w14:textId="27BBC13B" w:rsidR="00E533C4" w:rsidRPr="002837A0" w:rsidRDefault="00E533C4" w:rsidP="002D5031">
      <w:pPr>
        <w:pBdr>
          <w:top w:val="nil"/>
          <w:left w:val="nil"/>
          <w:bottom w:val="nil"/>
          <w:right w:val="nil"/>
          <w:between w:val="nil"/>
        </w:pBdr>
        <w:suppressAutoHyphens w:val="0"/>
        <w:spacing w:after="160"/>
        <w:ind w:left="720"/>
        <w:jc w:val="both"/>
        <w:rPr>
          <w:sz w:val="22"/>
          <w:szCs w:val="22"/>
        </w:rPr>
      </w:pPr>
      <w:r w:rsidRPr="002837A0">
        <w:rPr>
          <w:sz w:val="22"/>
          <w:szCs w:val="22"/>
        </w:rPr>
        <w:t>Ghana</w:t>
      </w:r>
      <w:r w:rsidRPr="002837A0">
        <w:rPr>
          <w:sz w:val="22"/>
          <w:szCs w:val="22"/>
        </w:rPr>
        <w:tab/>
      </w:r>
      <w:r w:rsidRPr="002837A0">
        <w:rPr>
          <w:sz w:val="22"/>
          <w:szCs w:val="22"/>
        </w:rPr>
        <w:tab/>
        <w:t>Regions</w:t>
      </w:r>
      <w:r w:rsidR="00584EB7" w:rsidRPr="002837A0">
        <w:rPr>
          <w:sz w:val="22"/>
          <w:szCs w:val="22"/>
        </w:rPr>
        <w:t xml:space="preserve">:   </w:t>
      </w:r>
      <w:r w:rsidRPr="002837A0">
        <w:rPr>
          <w:sz w:val="22"/>
          <w:szCs w:val="22"/>
        </w:rPr>
        <w:t>Ahafo, Northern Ashanti, Upper West, and Volta</w:t>
      </w:r>
    </w:p>
    <w:p w14:paraId="48B3B8D5" w14:textId="41D4A0C0" w:rsidR="00E533C4" w:rsidRPr="002837A0" w:rsidRDefault="00E533C4" w:rsidP="002D5031">
      <w:pPr>
        <w:pBdr>
          <w:top w:val="nil"/>
          <w:left w:val="nil"/>
          <w:bottom w:val="nil"/>
          <w:right w:val="nil"/>
          <w:between w:val="nil"/>
        </w:pBdr>
        <w:suppressAutoHyphens w:val="0"/>
        <w:spacing w:after="160"/>
        <w:ind w:left="2160" w:hanging="1440"/>
        <w:jc w:val="both"/>
        <w:rPr>
          <w:sz w:val="22"/>
          <w:szCs w:val="22"/>
        </w:rPr>
      </w:pPr>
      <w:r w:rsidRPr="002837A0">
        <w:rPr>
          <w:sz w:val="22"/>
          <w:szCs w:val="22"/>
        </w:rPr>
        <w:t>Nigeria</w:t>
      </w:r>
      <w:r w:rsidRPr="002837A0">
        <w:rPr>
          <w:sz w:val="22"/>
          <w:szCs w:val="22"/>
        </w:rPr>
        <w:tab/>
        <w:t>States</w:t>
      </w:r>
      <w:r w:rsidR="00584EB7" w:rsidRPr="002837A0">
        <w:rPr>
          <w:sz w:val="22"/>
          <w:szCs w:val="22"/>
        </w:rPr>
        <w:t xml:space="preserve">:      </w:t>
      </w:r>
      <w:r w:rsidRPr="002837A0">
        <w:rPr>
          <w:sz w:val="22"/>
          <w:szCs w:val="22"/>
        </w:rPr>
        <w:t>Kogi, Kwara, Abia, Akwa-Ibom, Anambra, Ogun, Ondo, Nassarawa, Oyo, Edo, Ekiti, Enugu, Benue, Cross Rivers, Delta, Ebonyi, Imo</w:t>
      </w:r>
    </w:p>
    <w:p w14:paraId="1E3C319E" w14:textId="5C80A208" w:rsidR="00B240B2" w:rsidRPr="002837A0" w:rsidRDefault="00B240B2" w:rsidP="002D5031">
      <w:pPr>
        <w:pBdr>
          <w:top w:val="nil"/>
          <w:left w:val="nil"/>
          <w:bottom w:val="nil"/>
          <w:right w:val="nil"/>
          <w:between w:val="nil"/>
        </w:pBdr>
        <w:suppressAutoHyphens w:val="0"/>
        <w:ind w:left="720" w:right="-540"/>
        <w:contextualSpacing/>
        <w:jc w:val="both"/>
        <w:rPr>
          <w:sz w:val="22"/>
          <w:szCs w:val="22"/>
        </w:rPr>
      </w:pPr>
    </w:p>
    <w:p w14:paraId="09894E19" w14:textId="1CEF3F4F" w:rsidR="00584EB7" w:rsidRPr="002837A0" w:rsidRDefault="00584EB7" w:rsidP="00584EB7">
      <w:pPr>
        <w:pBdr>
          <w:top w:val="nil"/>
          <w:left w:val="nil"/>
          <w:bottom w:val="nil"/>
          <w:right w:val="nil"/>
          <w:between w:val="nil"/>
        </w:pBdr>
        <w:suppressAutoHyphens w:val="0"/>
        <w:ind w:left="567" w:right="-540"/>
        <w:contextualSpacing/>
        <w:jc w:val="both"/>
        <w:rPr>
          <w:sz w:val="22"/>
          <w:szCs w:val="22"/>
          <w:lang w:val="fr-FR"/>
        </w:rPr>
      </w:pPr>
      <w:r w:rsidRPr="002837A0">
        <w:rPr>
          <w:sz w:val="22"/>
          <w:szCs w:val="22"/>
          <w:lang w:val="fr-FR"/>
        </w:rPr>
        <w:t>L'usine de transformation de la noix de cajou n'a pas besoin d'être située dans ces zones ciblées, mais le programme de liaison avec les agriculteurs doit être dans les zones ciblées.</w:t>
      </w:r>
    </w:p>
    <w:p w14:paraId="7385BA3E" w14:textId="77777777" w:rsidR="00584EB7" w:rsidRPr="002837A0" w:rsidRDefault="00584EB7" w:rsidP="00584EB7">
      <w:pPr>
        <w:pBdr>
          <w:top w:val="nil"/>
          <w:left w:val="nil"/>
          <w:bottom w:val="nil"/>
          <w:right w:val="nil"/>
          <w:between w:val="nil"/>
        </w:pBdr>
        <w:suppressAutoHyphens w:val="0"/>
        <w:ind w:right="-540"/>
        <w:contextualSpacing/>
        <w:jc w:val="both"/>
        <w:rPr>
          <w:sz w:val="22"/>
          <w:szCs w:val="22"/>
          <w:lang w:val="fr-FR"/>
        </w:rPr>
      </w:pPr>
    </w:p>
    <w:p w14:paraId="3A04D9A5" w14:textId="215C6DC7" w:rsidR="00584EB7" w:rsidRPr="002837A0" w:rsidRDefault="00584EB7" w:rsidP="00584EB7">
      <w:pPr>
        <w:pStyle w:val="ListParagraph"/>
        <w:numPr>
          <w:ilvl w:val="0"/>
          <w:numId w:val="27"/>
        </w:numPr>
        <w:pBdr>
          <w:top w:val="nil"/>
          <w:left w:val="nil"/>
          <w:bottom w:val="nil"/>
          <w:right w:val="nil"/>
          <w:between w:val="nil"/>
        </w:pBdr>
        <w:suppressAutoHyphens w:val="0"/>
        <w:ind w:right="-540"/>
        <w:jc w:val="both"/>
        <w:rPr>
          <w:sz w:val="22"/>
          <w:szCs w:val="22"/>
          <w:lang w:val="fr-FR"/>
        </w:rPr>
        <w:sectPr w:rsidR="00584EB7" w:rsidRPr="002837A0" w:rsidSect="00DA5202">
          <w:headerReference w:type="default" r:id="rId12"/>
          <w:footerReference w:type="default" r:id="rId13"/>
          <w:pgSz w:w="12240" w:h="15840"/>
          <w:pgMar w:top="1440" w:right="1440" w:bottom="1440" w:left="1440" w:header="0" w:footer="720" w:gutter="0"/>
          <w:pgNumType w:start="1"/>
          <w:cols w:space="720"/>
        </w:sectPr>
      </w:pPr>
      <w:r w:rsidRPr="002837A0">
        <w:rPr>
          <w:sz w:val="22"/>
          <w:szCs w:val="22"/>
          <w:lang w:val="fr-FR"/>
        </w:rPr>
        <w:t>Avoir une mission claire avec des objectifs organisationnels qui incluent les agriculteurs comme facteur clé de succès dans leur modèle d'entreprise.</w:t>
      </w:r>
    </w:p>
    <w:p w14:paraId="52711C92" w14:textId="77777777" w:rsidR="00F00B86" w:rsidRPr="002837A0" w:rsidRDefault="00F00B86" w:rsidP="00F02FB0">
      <w:pPr>
        <w:pStyle w:val="bulletslevel1"/>
        <w:numPr>
          <w:ilvl w:val="0"/>
          <w:numId w:val="0"/>
        </w:numPr>
        <w:ind w:left="720"/>
        <w:rPr>
          <w:rStyle w:val="Heading2Char"/>
          <w:b w:val="0"/>
          <w:bCs/>
          <w:lang w:val="fr-FR"/>
        </w:rPr>
      </w:pPr>
    </w:p>
    <w:p w14:paraId="0F8A3A65" w14:textId="2C938E18" w:rsidR="005F136D" w:rsidRPr="002837A0" w:rsidRDefault="005F136D" w:rsidP="002C1500">
      <w:pPr>
        <w:pStyle w:val="Heading2"/>
        <w:rPr>
          <w:rStyle w:val="Heading2Char"/>
          <w:rFonts w:eastAsia="Calibri"/>
          <w:b/>
          <w:bCs/>
          <w:lang w:val="fr-FR"/>
        </w:rPr>
      </w:pPr>
      <w:r w:rsidRPr="002837A0">
        <w:rPr>
          <w:rStyle w:val="Heading2Char"/>
          <w:b/>
          <w:bCs/>
          <w:lang w:val="fr-FR"/>
        </w:rPr>
        <w:t>IIB.</w:t>
      </w:r>
      <w:r w:rsidRPr="002837A0">
        <w:rPr>
          <w:rStyle w:val="Heading2Char"/>
          <w:b/>
          <w:bCs/>
          <w:lang w:val="fr-FR"/>
        </w:rPr>
        <w:tab/>
      </w:r>
      <w:r w:rsidR="00584EB7" w:rsidRPr="002837A0">
        <w:rPr>
          <w:rStyle w:val="Heading2Char"/>
          <w:b/>
          <w:bCs/>
          <w:lang w:val="fr-FR"/>
        </w:rPr>
        <w:t>Conditions d'éligibilité supplémentaires</w:t>
      </w:r>
    </w:p>
    <w:p w14:paraId="3801E7DD" w14:textId="0AEF8CA9" w:rsidR="004801C2" w:rsidRPr="002837A0" w:rsidRDefault="004801C2" w:rsidP="004801C2">
      <w:pPr>
        <w:pBdr>
          <w:top w:val="nil"/>
          <w:left w:val="nil"/>
          <w:bottom w:val="nil"/>
          <w:right w:val="nil"/>
          <w:between w:val="nil"/>
        </w:pBdr>
        <w:suppressAutoHyphens w:val="0"/>
        <w:ind w:right="-540"/>
        <w:contextualSpacing/>
        <w:jc w:val="both"/>
        <w:rPr>
          <w:bCs/>
          <w:sz w:val="22"/>
          <w:szCs w:val="22"/>
          <w:lang w:val="fr-FR"/>
        </w:rPr>
      </w:pPr>
    </w:p>
    <w:p w14:paraId="33BEFB5F" w14:textId="0D57B76B" w:rsidR="00584EB7" w:rsidRPr="002837A0" w:rsidRDefault="00584EB7" w:rsidP="004801C2">
      <w:pPr>
        <w:pBdr>
          <w:top w:val="nil"/>
          <w:left w:val="nil"/>
          <w:bottom w:val="nil"/>
          <w:right w:val="nil"/>
          <w:between w:val="nil"/>
        </w:pBdr>
        <w:suppressAutoHyphens w:val="0"/>
        <w:ind w:right="-540"/>
        <w:contextualSpacing/>
        <w:jc w:val="both"/>
        <w:rPr>
          <w:bCs/>
          <w:sz w:val="22"/>
          <w:szCs w:val="22"/>
          <w:lang w:val="fr-FR"/>
        </w:rPr>
      </w:pPr>
      <w:r w:rsidRPr="002837A0">
        <w:rPr>
          <w:bCs/>
          <w:sz w:val="22"/>
          <w:szCs w:val="22"/>
          <w:lang w:val="fr-FR"/>
        </w:rPr>
        <w:t>En plus des critères d'éligibilité de</w:t>
      </w:r>
      <w:r w:rsidR="00BB0A57" w:rsidRPr="002837A0">
        <w:rPr>
          <w:bCs/>
          <w:sz w:val="22"/>
          <w:szCs w:val="22"/>
          <w:lang w:val="fr-FR"/>
        </w:rPr>
        <w:t xml:space="preserve"> </w:t>
      </w:r>
      <w:r w:rsidRPr="002837A0">
        <w:rPr>
          <w:bCs/>
          <w:sz w:val="22"/>
          <w:szCs w:val="22"/>
          <w:lang w:val="fr-FR"/>
        </w:rPr>
        <w:t xml:space="preserve"> IIA, </w:t>
      </w:r>
      <w:r w:rsidR="00B643D9" w:rsidRPr="002837A0">
        <w:rPr>
          <w:bCs/>
          <w:sz w:val="22"/>
          <w:szCs w:val="22"/>
          <w:lang w:val="fr-FR"/>
        </w:rPr>
        <w:t xml:space="preserve">les présentes </w:t>
      </w:r>
      <w:r w:rsidRPr="002837A0">
        <w:rPr>
          <w:bCs/>
          <w:sz w:val="22"/>
          <w:szCs w:val="22"/>
          <w:lang w:val="fr-FR"/>
        </w:rPr>
        <w:t>conditions s'appliquent:</w:t>
      </w:r>
    </w:p>
    <w:p w14:paraId="52411757" w14:textId="77777777" w:rsidR="00453509" w:rsidRPr="002837A0" w:rsidRDefault="00453509" w:rsidP="004801C2">
      <w:pPr>
        <w:pBdr>
          <w:top w:val="nil"/>
          <w:left w:val="nil"/>
          <w:bottom w:val="nil"/>
          <w:right w:val="nil"/>
          <w:between w:val="nil"/>
        </w:pBdr>
        <w:suppressAutoHyphens w:val="0"/>
        <w:ind w:right="-540"/>
        <w:contextualSpacing/>
        <w:jc w:val="both"/>
        <w:rPr>
          <w:b/>
          <w:sz w:val="22"/>
          <w:szCs w:val="22"/>
          <w:lang w:val="fr-FR"/>
        </w:rPr>
      </w:pPr>
    </w:p>
    <w:p w14:paraId="25F740DB" w14:textId="77777777" w:rsidR="00B643D9" w:rsidRPr="002837A0" w:rsidRDefault="00B643D9" w:rsidP="00B643D9">
      <w:pPr>
        <w:pStyle w:val="ListParagraph"/>
        <w:numPr>
          <w:ilvl w:val="0"/>
          <w:numId w:val="27"/>
        </w:numPr>
        <w:pBdr>
          <w:top w:val="nil"/>
          <w:left w:val="nil"/>
          <w:bottom w:val="nil"/>
          <w:right w:val="nil"/>
          <w:between w:val="nil"/>
        </w:pBdr>
        <w:suppressAutoHyphens w:val="0"/>
        <w:spacing w:after="160"/>
        <w:ind w:right="-540"/>
        <w:jc w:val="both"/>
        <w:rPr>
          <w:rFonts w:eastAsia="Calibri"/>
          <w:kern w:val="24"/>
          <w:sz w:val="22"/>
          <w:szCs w:val="22"/>
          <w:lang w:val="fr-FR"/>
        </w:rPr>
      </w:pPr>
      <w:r w:rsidRPr="002837A0">
        <w:rPr>
          <w:rFonts w:eastAsia="Calibri"/>
          <w:kern w:val="24"/>
          <w:sz w:val="22"/>
          <w:szCs w:val="22"/>
          <w:lang w:val="fr-FR"/>
        </w:rPr>
        <w:t>Soumettre une demande complète répondant aux exigences et conditions de PRO-Cashew.</w:t>
      </w:r>
    </w:p>
    <w:p w14:paraId="23520BD8" w14:textId="77777777" w:rsidR="00B643D9" w:rsidRPr="002837A0" w:rsidRDefault="00B643D9" w:rsidP="00B643D9">
      <w:pPr>
        <w:pStyle w:val="ListParagraph"/>
        <w:numPr>
          <w:ilvl w:val="0"/>
          <w:numId w:val="27"/>
        </w:numPr>
        <w:pBdr>
          <w:top w:val="nil"/>
          <w:left w:val="nil"/>
          <w:bottom w:val="nil"/>
          <w:right w:val="nil"/>
          <w:between w:val="nil"/>
        </w:pBdr>
        <w:suppressAutoHyphens w:val="0"/>
        <w:spacing w:after="160"/>
        <w:ind w:right="-540"/>
        <w:jc w:val="both"/>
        <w:rPr>
          <w:rFonts w:eastAsia="Calibri"/>
          <w:kern w:val="24"/>
          <w:sz w:val="22"/>
          <w:szCs w:val="22"/>
          <w:lang w:val="fr-FR"/>
        </w:rPr>
      </w:pPr>
      <w:r w:rsidRPr="002837A0">
        <w:rPr>
          <w:rFonts w:eastAsia="Calibri"/>
          <w:kern w:val="24"/>
          <w:sz w:val="22"/>
          <w:szCs w:val="22"/>
          <w:lang w:val="fr-FR"/>
        </w:rPr>
        <w:t>S'engager à respecter des normes commerciales éthiques élevées, y compris la transparence dans les transactions commerciales, le recrutement du personnel, la gestion financière et la tenue de registres.</w:t>
      </w:r>
    </w:p>
    <w:p w14:paraId="24B8E917" w14:textId="77777777" w:rsidR="00B643D9" w:rsidRPr="002837A0" w:rsidRDefault="00B643D9" w:rsidP="00B643D9">
      <w:pPr>
        <w:pStyle w:val="ListParagraph"/>
        <w:numPr>
          <w:ilvl w:val="0"/>
          <w:numId w:val="27"/>
        </w:numPr>
        <w:pBdr>
          <w:top w:val="nil"/>
          <w:left w:val="nil"/>
          <w:bottom w:val="nil"/>
          <w:right w:val="nil"/>
          <w:between w:val="nil"/>
        </w:pBdr>
        <w:suppressAutoHyphens w:val="0"/>
        <w:spacing w:after="160"/>
        <w:ind w:right="-540"/>
        <w:jc w:val="both"/>
        <w:rPr>
          <w:rFonts w:eastAsia="Calibri"/>
          <w:kern w:val="24"/>
          <w:sz w:val="22"/>
          <w:szCs w:val="22"/>
          <w:lang w:val="fr-FR"/>
        </w:rPr>
      </w:pPr>
      <w:r w:rsidRPr="002837A0">
        <w:rPr>
          <w:rFonts w:eastAsia="Calibri"/>
          <w:kern w:val="24"/>
          <w:sz w:val="22"/>
          <w:szCs w:val="22"/>
          <w:lang w:val="fr-FR"/>
        </w:rPr>
        <w:t>Etre prêt à subir un examen financier, comme demandé, s'il s'agit d'une subvention à montant fixe.</w:t>
      </w:r>
    </w:p>
    <w:p w14:paraId="39C33A13" w14:textId="77777777" w:rsidR="00B643D9" w:rsidRPr="002837A0" w:rsidRDefault="00B643D9" w:rsidP="00B643D9">
      <w:pPr>
        <w:pStyle w:val="ListParagraph"/>
        <w:numPr>
          <w:ilvl w:val="0"/>
          <w:numId w:val="27"/>
        </w:numPr>
        <w:pBdr>
          <w:top w:val="nil"/>
          <w:left w:val="nil"/>
          <w:bottom w:val="nil"/>
          <w:right w:val="nil"/>
          <w:between w:val="nil"/>
        </w:pBdr>
        <w:suppressAutoHyphens w:val="0"/>
        <w:spacing w:after="160"/>
        <w:ind w:right="-540"/>
        <w:jc w:val="both"/>
        <w:rPr>
          <w:rFonts w:eastAsia="Calibri"/>
          <w:kern w:val="24"/>
          <w:sz w:val="22"/>
          <w:szCs w:val="22"/>
          <w:lang w:val="fr-FR"/>
        </w:rPr>
      </w:pPr>
      <w:r w:rsidRPr="002837A0">
        <w:rPr>
          <w:rFonts w:eastAsia="Calibri"/>
          <w:kern w:val="24"/>
          <w:sz w:val="22"/>
          <w:szCs w:val="22"/>
          <w:lang w:val="fr-FR"/>
        </w:rPr>
        <w:t>S'engager à fournir la contribution nécessaire selon le bénéficiaire et le type de subvention, selon la sollicitation.</w:t>
      </w:r>
    </w:p>
    <w:p w14:paraId="4F0EEF24" w14:textId="02D15E9D" w:rsidR="00B643D9" w:rsidRPr="002837A0" w:rsidRDefault="00B643D9" w:rsidP="00B643D9">
      <w:pPr>
        <w:pStyle w:val="ListParagraph"/>
        <w:numPr>
          <w:ilvl w:val="0"/>
          <w:numId w:val="27"/>
        </w:numPr>
        <w:pBdr>
          <w:top w:val="nil"/>
          <w:left w:val="nil"/>
          <w:bottom w:val="nil"/>
          <w:right w:val="nil"/>
          <w:between w:val="nil"/>
        </w:pBdr>
        <w:suppressAutoHyphens w:val="0"/>
        <w:spacing w:after="160"/>
        <w:ind w:right="-540"/>
        <w:jc w:val="both"/>
        <w:rPr>
          <w:rFonts w:eastAsia="Calibri"/>
          <w:kern w:val="24"/>
          <w:sz w:val="22"/>
          <w:szCs w:val="22"/>
          <w:lang w:val="fr-FR"/>
        </w:rPr>
      </w:pPr>
      <w:r w:rsidRPr="002837A0">
        <w:rPr>
          <w:rFonts w:eastAsia="Calibri"/>
          <w:kern w:val="24"/>
          <w:sz w:val="22"/>
          <w:szCs w:val="22"/>
          <w:lang w:val="fr-FR"/>
        </w:rPr>
        <w:t>Capacité avérée à tenir des registres commerciaux, financiers et techniques, manuellement ou électroniquement.</w:t>
      </w:r>
    </w:p>
    <w:p w14:paraId="14BEDBB3" w14:textId="77777777" w:rsidR="005B2EEE" w:rsidRPr="002837A0" w:rsidRDefault="00B643D9" w:rsidP="00B643D9">
      <w:pPr>
        <w:pStyle w:val="ListParagraph"/>
        <w:numPr>
          <w:ilvl w:val="0"/>
          <w:numId w:val="27"/>
        </w:numPr>
        <w:pBdr>
          <w:top w:val="nil"/>
          <w:left w:val="nil"/>
          <w:bottom w:val="nil"/>
          <w:right w:val="nil"/>
          <w:between w:val="nil"/>
        </w:pBdr>
        <w:suppressAutoHyphens w:val="0"/>
        <w:spacing w:after="160"/>
        <w:ind w:right="-540"/>
        <w:jc w:val="both"/>
        <w:rPr>
          <w:rFonts w:eastAsia="Calibri"/>
          <w:kern w:val="24"/>
          <w:sz w:val="22"/>
          <w:szCs w:val="22"/>
          <w:lang w:val="fr-FR"/>
        </w:rPr>
      </w:pPr>
      <w:r w:rsidRPr="002837A0">
        <w:rPr>
          <w:rFonts w:eastAsia="Calibri"/>
          <w:kern w:val="24"/>
          <w:sz w:val="22"/>
          <w:szCs w:val="22"/>
          <w:lang w:val="fr-FR"/>
        </w:rPr>
        <w:t>Effectuer et réussir une visite de site et une évaluation préalable à l'attribution.</w:t>
      </w:r>
    </w:p>
    <w:p w14:paraId="5AA80CFC" w14:textId="77777777" w:rsidR="005B2EEE" w:rsidRPr="002837A0" w:rsidRDefault="00B643D9" w:rsidP="00B643D9">
      <w:pPr>
        <w:pStyle w:val="ListParagraph"/>
        <w:numPr>
          <w:ilvl w:val="0"/>
          <w:numId w:val="27"/>
        </w:numPr>
        <w:pBdr>
          <w:top w:val="nil"/>
          <w:left w:val="nil"/>
          <w:bottom w:val="nil"/>
          <w:right w:val="nil"/>
          <w:between w:val="nil"/>
        </w:pBdr>
        <w:suppressAutoHyphens w:val="0"/>
        <w:spacing w:after="160"/>
        <w:ind w:right="-540"/>
        <w:jc w:val="both"/>
        <w:rPr>
          <w:rFonts w:eastAsia="Calibri"/>
          <w:kern w:val="24"/>
          <w:sz w:val="22"/>
          <w:szCs w:val="22"/>
          <w:lang w:val="fr-FR"/>
        </w:rPr>
      </w:pPr>
      <w:r w:rsidRPr="002837A0">
        <w:rPr>
          <w:rFonts w:eastAsia="Calibri"/>
          <w:kern w:val="24"/>
          <w:sz w:val="22"/>
          <w:szCs w:val="22"/>
          <w:lang w:val="fr-FR"/>
        </w:rPr>
        <w:t>Remplir la liste de vérification environnementale et, en fonction des risques environnementaux, élaborer un plan d'atténuation à mettre en place pendant la période de subvention.</w:t>
      </w:r>
    </w:p>
    <w:p w14:paraId="659CD082" w14:textId="77777777" w:rsidR="005B2EEE" w:rsidRPr="002837A0" w:rsidRDefault="00B643D9" w:rsidP="00B643D9">
      <w:pPr>
        <w:pStyle w:val="ListParagraph"/>
        <w:numPr>
          <w:ilvl w:val="0"/>
          <w:numId w:val="27"/>
        </w:numPr>
        <w:pBdr>
          <w:top w:val="nil"/>
          <w:left w:val="nil"/>
          <w:bottom w:val="nil"/>
          <w:right w:val="nil"/>
          <w:between w:val="nil"/>
        </w:pBdr>
        <w:suppressAutoHyphens w:val="0"/>
        <w:spacing w:after="160"/>
        <w:ind w:right="-540"/>
        <w:jc w:val="both"/>
        <w:rPr>
          <w:rFonts w:eastAsia="Calibri"/>
          <w:kern w:val="24"/>
          <w:sz w:val="22"/>
          <w:szCs w:val="22"/>
          <w:lang w:val="fr-FR"/>
        </w:rPr>
      </w:pPr>
      <w:r w:rsidRPr="002837A0">
        <w:rPr>
          <w:rFonts w:eastAsia="Calibri"/>
          <w:kern w:val="24"/>
          <w:sz w:val="22"/>
          <w:szCs w:val="22"/>
          <w:lang w:val="fr-FR"/>
        </w:rPr>
        <w:t xml:space="preserve">Accepter et signer les certifications applicables, telles que la certification concernant le lobbying; </w:t>
      </w:r>
      <w:r w:rsidR="005B2EEE" w:rsidRPr="002837A0">
        <w:rPr>
          <w:rFonts w:eastAsia="Calibri"/>
          <w:kern w:val="24"/>
          <w:sz w:val="22"/>
          <w:szCs w:val="22"/>
          <w:lang w:val="fr-FR"/>
        </w:rPr>
        <w:t>la Certification concernant le Financement du T</w:t>
      </w:r>
      <w:r w:rsidRPr="002837A0">
        <w:rPr>
          <w:rFonts w:eastAsia="Calibri"/>
          <w:kern w:val="24"/>
          <w:sz w:val="22"/>
          <w:szCs w:val="22"/>
          <w:lang w:val="fr-FR"/>
        </w:rPr>
        <w:t xml:space="preserve">errorisme; </w:t>
      </w:r>
      <w:r w:rsidR="005B2EEE" w:rsidRPr="002837A0">
        <w:rPr>
          <w:rFonts w:eastAsia="Calibri"/>
          <w:kern w:val="24"/>
          <w:sz w:val="22"/>
          <w:szCs w:val="22"/>
          <w:lang w:val="fr-FR"/>
        </w:rPr>
        <w:t>l’Interdiction de l'Assistance aux Trafiquants de D</w:t>
      </w:r>
      <w:r w:rsidRPr="002837A0">
        <w:rPr>
          <w:rFonts w:eastAsia="Calibri"/>
          <w:kern w:val="24"/>
          <w:sz w:val="22"/>
          <w:szCs w:val="22"/>
          <w:lang w:val="fr-FR"/>
        </w:rPr>
        <w:t xml:space="preserve">rogue; et </w:t>
      </w:r>
      <w:r w:rsidR="005B2EEE" w:rsidRPr="002837A0">
        <w:rPr>
          <w:rFonts w:eastAsia="Calibri"/>
          <w:kern w:val="24"/>
          <w:sz w:val="22"/>
          <w:szCs w:val="22"/>
          <w:lang w:val="fr-FR"/>
        </w:rPr>
        <w:t>la Certification du B</w:t>
      </w:r>
      <w:r w:rsidRPr="002837A0">
        <w:rPr>
          <w:rFonts w:eastAsia="Calibri"/>
          <w:kern w:val="24"/>
          <w:sz w:val="22"/>
          <w:szCs w:val="22"/>
          <w:lang w:val="fr-FR"/>
        </w:rPr>
        <w:t>énéficiaire.</w:t>
      </w:r>
    </w:p>
    <w:p w14:paraId="47AE57E1" w14:textId="6CEE4EF3" w:rsidR="005B2EEE" w:rsidRPr="002837A0" w:rsidRDefault="005B2EEE" w:rsidP="00B643D9">
      <w:pPr>
        <w:pStyle w:val="ListParagraph"/>
        <w:numPr>
          <w:ilvl w:val="0"/>
          <w:numId w:val="27"/>
        </w:numPr>
        <w:pBdr>
          <w:top w:val="nil"/>
          <w:left w:val="nil"/>
          <w:bottom w:val="nil"/>
          <w:right w:val="nil"/>
          <w:between w:val="nil"/>
        </w:pBdr>
        <w:suppressAutoHyphens w:val="0"/>
        <w:spacing w:after="160"/>
        <w:ind w:right="-540"/>
        <w:jc w:val="both"/>
        <w:rPr>
          <w:rFonts w:eastAsia="Calibri"/>
          <w:kern w:val="24"/>
          <w:sz w:val="22"/>
          <w:szCs w:val="22"/>
          <w:lang w:val="fr-FR"/>
        </w:rPr>
      </w:pPr>
      <w:r w:rsidRPr="002837A0">
        <w:rPr>
          <w:rFonts w:eastAsia="Calibri"/>
          <w:kern w:val="24"/>
          <w:sz w:val="22"/>
          <w:szCs w:val="22"/>
          <w:lang w:val="fr-FR"/>
        </w:rPr>
        <w:t>Accepter</w:t>
      </w:r>
      <w:r w:rsidR="00B643D9" w:rsidRPr="002837A0">
        <w:rPr>
          <w:rFonts w:eastAsia="Calibri"/>
          <w:kern w:val="24"/>
          <w:sz w:val="22"/>
          <w:szCs w:val="22"/>
          <w:lang w:val="fr-FR"/>
        </w:rPr>
        <w:t xml:space="preserve"> les conditions générales </w:t>
      </w:r>
      <w:r w:rsidR="00BB0A57" w:rsidRPr="002837A0">
        <w:rPr>
          <w:rFonts w:eastAsia="Calibri"/>
          <w:kern w:val="24"/>
          <w:sz w:val="22"/>
          <w:szCs w:val="22"/>
          <w:lang w:val="fr-FR"/>
        </w:rPr>
        <w:t xml:space="preserve">de </w:t>
      </w:r>
      <w:r w:rsidR="00B643D9" w:rsidRPr="002837A0">
        <w:rPr>
          <w:rFonts w:eastAsia="Calibri"/>
          <w:kern w:val="24"/>
          <w:sz w:val="22"/>
          <w:szCs w:val="22"/>
          <w:lang w:val="fr-FR"/>
        </w:rPr>
        <w:t>CNFA et</w:t>
      </w:r>
      <w:r w:rsidR="00BB0A57" w:rsidRPr="002837A0">
        <w:rPr>
          <w:rFonts w:eastAsia="Calibri"/>
          <w:kern w:val="24"/>
          <w:sz w:val="22"/>
          <w:szCs w:val="22"/>
          <w:lang w:val="fr-FR"/>
        </w:rPr>
        <w:t xml:space="preserve"> de</w:t>
      </w:r>
      <w:r w:rsidR="00B643D9" w:rsidRPr="002837A0">
        <w:rPr>
          <w:rFonts w:eastAsia="Calibri"/>
          <w:kern w:val="24"/>
          <w:sz w:val="22"/>
          <w:szCs w:val="22"/>
          <w:lang w:val="fr-FR"/>
        </w:rPr>
        <w:t xml:space="preserve"> USDA, le cas échéant.</w:t>
      </w:r>
    </w:p>
    <w:p w14:paraId="60596450" w14:textId="77777777" w:rsidR="00DC74CB" w:rsidRPr="002837A0" w:rsidRDefault="00B643D9" w:rsidP="00B643D9">
      <w:pPr>
        <w:pStyle w:val="ListParagraph"/>
        <w:numPr>
          <w:ilvl w:val="0"/>
          <w:numId w:val="27"/>
        </w:numPr>
        <w:pBdr>
          <w:top w:val="nil"/>
          <w:left w:val="nil"/>
          <w:bottom w:val="nil"/>
          <w:right w:val="nil"/>
          <w:between w:val="nil"/>
        </w:pBdr>
        <w:suppressAutoHyphens w:val="0"/>
        <w:spacing w:after="160"/>
        <w:ind w:right="-540"/>
        <w:jc w:val="both"/>
        <w:rPr>
          <w:rFonts w:eastAsia="Calibri"/>
          <w:kern w:val="24"/>
          <w:sz w:val="22"/>
          <w:szCs w:val="22"/>
          <w:lang w:val="fr-FR"/>
        </w:rPr>
      </w:pPr>
      <w:r w:rsidRPr="002837A0">
        <w:rPr>
          <w:rFonts w:eastAsia="Calibri"/>
          <w:kern w:val="24"/>
          <w:sz w:val="22"/>
          <w:szCs w:val="22"/>
          <w:lang w:val="fr-FR"/>
        </w:rPr>
        <w:t xml:space="preserve">Certifier que l'organisation / l'individu n'est pas </w:t>
      </w:r>
      <w:r w:rsidR="005B2EEE" w:rsidRPr="002837A0">
        <w:rPr>
          <w:rFonts w:eastAsia="Calibri"/>
          <w:kern w:val="24"/>
          <w:sz w:val="22"/>
          <w:szCs w:val="22"/>
          <w:lang w:val="fr-FR"/>
        </w:rPr>
        <w:t>exclu</w:t>
      </w:r>
      <w:r w:rsidRPr="002837A0">
        <w:rPr>
          <w:rFonts w:eastAsia="Calibri"/>
          <w:kern w:val="24"/>
          <w:sz w:val="22"/>
          <w:szCs w:val="22"/>
          <w:lang w:val="fr-FR"/>
        </w:rPr>
        <w:t xml:space="preserve">, suspendu ou proposé </w:t>
      </w:r>
      <w:r w:rsidR="00DC74CB" w:rsidRPr="002837A0">
        <w:rPr>
          <w:rFonts w:eastAsia="Calibri"/>
          <w:kern w:val="24"/>
          <w:sz w:val="22"/>
          <w:szCs w:val="22"/>
          <w:lang w:val="fr-FR"/>
        </w:rPr>
        <w:t>à être des Fonds du Gouvernement A</w:t>
      </w:r>
      <w:r w:rsidRPr="002837A0">
        <w:rPr>
          <w:rFonts w:eastAsia="Calibri"/>
          <w:kern w:val="24"/>
          <w:sz w:val="22"/>
          <w:szCs w:val="22"/>
          <w:lang w:val="fr-FR"/>
        </w:rPr>
        <w:t>méricain.</w:t>
      </w:r>
    </w:p>
    <w:p w14:paraId="47022218" w14:textId="606A3FF4" w:rsidR="00B643D9" w:rsidRPr="002837A0" w:rsidRDefault="00B643D9" w:rsidP="00B643D9">
      <w:pPr>
        <w:pStyle w:val="ListParagraph"/>
        <w:numPr>
          <w:ilvl w:val="0"/>
          <w:numId w:val="27"/>
        </w:numPr>
        <w:pBdr>
          <w:top w:val="nil"/>
          <w:left w:val="nil"/>
          <w:bottom w:val="nil"/>
          <w:right w:val="nil"/>
          <w:between w:val="nil"/>
        </w:pBdr>
        <w:suppressAutoHyphens w:val="0"/>
        <w:spacing w:after="160"/>
        <w:ind w:right="-540"/>
        <w:jc w:val="both"/>
        <w:rPr>
          <w:rFonts w:eastAsia="Calibri"/>
          <w:kern w:val="24"/>
          <w:sz w:val="22"/>
          <w:szCs w:val="22"/>
          <w:lang w:val="fr-FR"/>
        </w:rPr>
      </w:pPr>
      <w:r w:rsidRPr="002837A0">
        <w:rPr>
          <w:rFonts w:eastAsia="Calibri"/>
          <w:kern w:val="24"/>
          <w:sz w:val="22"/>
          <w:szCs w:val="22"/>
          <w:lang w:val="fr-FR"/>
        </w:rPr>
        <w:t>Tous les candidats doivent présenter une preuve de leur capacité à faire face à la contribution en espèces ou en nature (minimum 50% de l'investissement total).</w:t>
      </w:r>
    </w:p>
    <w:p w14:paraId="72F6D969" w14:textId="77777777" w:rsidR="00AC45F0" w:rsidRPr="002837A0" w:rsidRDefault="00AC45F0" w:rsidP="00AC45F0">
      <w:pPr>
        <w:pBdr>
          <w:top w:val="nil"/>
          <w:left w:val="nil"/>
          <w:bottom w:val="nil"/>
          <w:right w:val="nil"/>
          <w:between w:val="nil"/>
        </w:pBdr>
        <w:suppressAutoHyphens w:val="0"/>
        <w:spacing w:after="160"/>
        <w:ind w:right="-540"/>
        <w:contextualSpacing/>
        <w:jc w:val="both"/>
        <w:rPr>
          <w:b/>
          <w:sz w:val="22"/>
          <w:szCs w:val="22"/>
          <w:lang w:val="fr-FR"/>
        </w:rPr>
      </w:pPr>
      <w:r w:rsidRPr="002837A0">
        <w:rPr>
          <w:b/>
          <w:sz w:val="22"/>
          <w:szCs w:val="22"/>
          <w:lang w:val="fr-FR"/>
        </w:rPr>
        <w:t>IIC. Demandes, activités et coûts non admissibles non admissibles</w:t>
      </w:r>
    </w:p>
    <w:p w14:paraId="02FF7FF8" w14:textId="77777777" w:rsidR="00AC45F0" w:rsidRPr="002837A0" w:rsidRDefault="00AC45F0" w:rsidP="00AC45F0">
      <w:pPr>
        <w:pBdr>
          <w:top w:val="nil"/>
          <w:left w:val="nil"/>
          <w:bottom w:val="nil"/>
          <w:right w:val="nil"/>
          <w:between w:val="nil"/>
        </w:pBdr>
        <w:suppressAutoHyphens w:val="0"/>
        <w:spacing w:after="160"/>
        <w:ind w:right="-540"/>
        <w:contextualSpacing/>
        <w:jc w:val="both"/>
        <w:rPr>
          <w:sz w:val="22"/>
          <w:szCs w:val="22"/>
          <w:lang w:val="fr-FR"/>
        </w:rPr>
      </w:pPr>
    </w:p>
    <w:p w14:paraId="1EDCF316" w14:textId="77777777" w:rsidR="00AC45F0" w:rsidRPr="002837A0" w:rsidRDefault="00AC45F0" w:rsidP="00AC45F0">
      <w:pPr>
        <w:pBdr>
          <w:top w:val="nil"/>
          <w:left w:val="nil"/>
          <w:bottom w:val="nil"/>
          <w:right w:val="nil"/>
          <w:between w:val="nil"/>
        </w:pBdr>
        <w:suppressAutoHyphens w:val="0"/>
        <w:spacing w:after="160"/>
        <w:ind w:right="-540"/>
        <w:contextualSpacing/>
        <w:jc w:val="both"/>
        <w:rPr>
          <w:sz w:val="22"/>
          <w:szCs w:val="22"/>
          <w:lang w:val="fr-FR"/>
        </w:rPr>
      </w:pPr>
      <w:r w:rsidRPr="002837A0">
        <w:rPr>
          <w:sz w:val="22"/>
          <w:szCs w:val="22"/>
          <w:lang w:val="fr-FR"/>
        </w:rPr>
        <w:t>Le soutien de la subvention PRO-Cashew ne sera pas étendu aux éléments suivants:</w:t>
      </w:r>
    </w:p>
    <w:p w14:paraId="0A1FDE46" w14:textId="77777777" w:rsidR="00AC45F0" w:rsidRPr="002837A0" w:rsidRDefault="00AC45F0" w:rsidP="00AC45F0">
      <w:pPr>
        <w:pStyle w:val="ListParagraph"/>
        <w:numPr>
          <w:ilvl w:val="0"/>
          <w:numId w:val="28"/>
        </w:numPr>
        <w:pBdr>
          <w:top w:val="nil"/>
          <w:left w:val="nil"/>
          <w:bottom w:val="nil"/>
          <w:right w:val="nil"/>
          <w:between w:val="nil"/>
        </w:pBdr>
        <w:suppressAutoHyphens w:val="0"/>
        <w:spacing w:after="160"/>
        <w:ind w:right="-540"/>
        <w:jc w:val="both"/>
        <w:rPr>
          <w:sz w:val="22"/>
          <w:szCs w:val="22"/>
          <w:lang w:val="fr-FR"/>
        </w:rPr>
      </w:pPr>
      <w:r w:rsidRPr="002837A0">
        <w:rPr>
          <w:sz w:val="22"/>
          <w:szCs w:val="22"/>
          <w:lang w:val="fr-FR"/>
        </w:rPr>
        <w:t>Entités non enregistrées légalement</w:t>
      </w:r>
    </w:p>
    <w:p w14:paraId="198F2C0D" w14:textId="77777777" w:rsidR="00AC45F0" w:rsidRPr="002837A0" w:rsidRDefault="00AC45F0" w:rsidP="00AC45F0">
      <w:pPr>
        <w:pStyle w:val="ListParagraph"/>
        <w:numPr>
          <w:ilvl w:val="0"/>
          <w:numId w:val="28"/>
        </w:numPr>
        <w:pBdr>
          <w:top w:val="nil"/>
          <w:left w:val="nil"/>
          <w:bottom w:val="nil"/>
          <w:right w:val="nil"/>
          <w:between w:val="nil"/>
        </w:pBdr>
        <w:suppressAutoHyphens w:val="0"/>
        <w:spacing w:after="160"/>
        <w:ind w:right="-540"/>
        <w:jc w:val="both"/>
        <w:rPr>
          <w:sz w:val="22"/>
          <w:szCs w:val="22"/>
          <w:lang w:val="fr-FR"/>
        </w:rPr>
      </w:pPr>
      <w:r w:rsidRPr="002837A0">
        <w:rPr>
          <w:sz w:val="22"/>
          <w:szCs w:val="22"/>
          <w:lang w:val="fr-FR"/>
        </w:rPr>
        <w:t>Toute entité ayant été jugée coupable de détournement de fonds USDA ou USG dans le passé</w:t>
      </w:r>
    </w:p>
    <w:p w14:paraId="67FF51C8" w14:textId="77777777" w:rsidR="000336F9" w:rsidRPr="002837A0" w:rsidRDefault="00AC45F0" w:rsidP="00AC45F0">
      <w:pPr>
        <w:pStyle w:val="ListParagraph"/>
        <w:numPr>
          <w:ilvl w:val="0"/>
          <w:numId w:val="28"/>
        </w:numPr>
        <w:pBdr>
          <w:top w:val="nil"/>
          <w:left w:val="nil"/>
          <w:bottom w:val="nil"/>
          <w:right w:val="nil"/>
          <w:between w:val="nil"/>
        </w:pBdr>
        <w:suppressAutoHyphens w:val="0"/>
        <w:spacing w:after="160"/>
        <w:ind w:right="-540"/>
        <w:jc w:val="both"/>
        <w:rPr>
          <w:sz w:val="22"/>
          <w:szCs w:val="22"/>
          <w:lang w:val="fr-FR"/>
        </w:rPr>
      </w:pPr>
      <w:r w:rsidRPr="002837A0">
        <w:rPr>
          <w:sz w:val="22"/>
          <w:szCs w:val="22"/>
          <w:lang w:val="fr-FR"/>
        </w:rPr>
        <w:t xml:space="preserve">Les partis, groupements ou institutions politiques ou leurs filiales et </w:t>
      </w:r>
      <w:r w:rsidR="000336F9" w:rsidRPr="002837A0">
        <w:rPr>
          <w:sz w:val="22"/>
          <w:szCs w:val="22"/>
          <w:lang w:val="fr-FR"/>
        </w:rPr>
        <w:t xml:space="preserve">entités </w:t>
      </w:r>
      <w:r w:rsidRPr="002837A0">
        <w:rPr>
          <w:sz w:val="22"/>
          <w:szCs w:val="22"/>
          <w:lang w:val="fr-FR"/>
        </w:rPr>
        <w:t>affilié</w:t>
      </w:r>
      <w:r w:rsidR="000336F9" w:rsidRPr="002837A0">
        <w:rPr>
          <w:sz w:val="22"/>
          <w:szCs w:val="22"/>
          <w:lang w:val="fr-FR"/>
        </w:rPr>
        <w:t>e</w:t>
      </w:r>
      <w:r w:rsidRPr="002837A0">
        <w:rPr>
          <w:sz w:val="22"/>
          <w:szCs w:val="22"/>
          <w:lang w:val="fr-FR"/>
        </w:rPr>
        <w:t>s</w:t>
      </w:r>
    </w:p>
    <w:p w14:paraId="74F74C02" w14:textId="77777777" w:rsidR="000336F9" w:rsidRPr="002837A0" w:rsidRDefault="000336F9" w:rsidP="00AC45F0">
      <w:pPr>
        <w:pStyle w:val="ListParagraph"/>
        <w:numPr>
          <w:ilvl w:val="0"/>
          <w:numId w:val="28"/>
        </w:numPr>
        <w:pBdr>
          <w:top w:val="nil"/>
          <w:left w:val="nil"/>
          <w:bottom w:val="nil"/>
          <w:right w:val="nil"/>
          <w:between w:val="nil"/>
        </w:pBdr>
        <w:suppressAutoHyphens w:val="0"/>
        <w:spacing w:after="160"/>
        <w:ind w:right="-540"/>
        <w:jc w:val="both"/>
        <w:rPr>
          <w:sz w:val="22"/>
          <w:szCs w:val="22"/>
          <w:lang w:val="fr-FR"/>
        </w:rPr>
      </w:pPr>
      <w:r w:rsidRPr="002837A0">
        <w:rPr>
          <w:sz w:val="22"/>
          <w:szCs w:val="22"/>
          <w:lang w:val="fr-FR"/>
        </w:rPr>
        <w:t>Les o</w:t>
      </w:r>
      <w:r w:rsidR="00AC45F0" w:rsidRPr="002837A0">
        <w:rPr>
          <w:sz w:val="22"/>
          <w:szCs w:val="22"/>
          <w:lang w:val="fr-FR"/>
        </w:rPr>
        <w:t>rganisations qui préconisent, promeuvent ou adoptent des politiques anti-démocratiques ou des activités illégales</w:t>
      </w:r>
    </w:p>
    <w:p w14:paraId="19D00F50" w14:textId="77777777" w:rsidR="00F10352" w:rsidRPr="002837A0" w:rsidRDefault="000336F9" w:rsidP="00AC45F0">
      <w:pPr>
        <w:pStyle w:val="ListParagraph"/>
        <w:numPr>
          <w:ilvl w:val="0"/>
          <w:numId w:val="28"/>
        </w:numPr>
        <w:pBdr>
          <w:top w:val="nil"/>
          <w:left w:val="nil"/>
          <w:bottom w:val="nil"/>
          <w:right w:val="nil"/>
          <w:between w:val="nil"/>
        </w:pBdr>
        <w:suppressAutoHyphens w:val="0"/>
        <w:spacing w:after="160"/>
        <w:ind w:right="-540"/>
        <w:jc w:val="both"/>
        <w:rPr>
          <w:sz w:val="22"/>
          <w:szCs w:val="22"/>
          <w:lang w:val="fr-FR"/>
        </w:rPr>
      </w:pPr>
      <w:r w:rsidRPr="002837A0">
        <w:rPr>
          <w:sz w:val="22"/>
          <w:szCs w:val="22"/>
          <w:lang w:val="fr-FR"/>
        </w:rPr>
        <w:t>Les o</w:t>
      </w:r>
      <w:r w:rsidR="00AC45F0" w:rsidRPr="002837A0">
        <w:rPr>
          <w:sz w:val="22"/>
          <w:szCs w:val="22"/>
          <w:lang w:val="fr-FR"/>
        </w:rPr>
        <w:t xml:space="preserve">rganisations confessionnelles </w:t>
      </w:r>
      <w:r w:rsidRPr="002837A0">
        <w:rPr>
          <w:sz w:val="22"/>
          <w:szCs w:val="22"/>
          <w:lang w:val="fr-FR"/>
        </w:rPr>
        <w:t>à buts discriminatoires</w:t>
      </w:r>
      <w:r w:rsidR="00AC45F0" w:rsidRPr="002837A0">
        <w:rPr>
          <w:sz w:val="22"/>
          <w:szCs w:val="22"/>
          <w:lang w:val="fr-FR"/>
        </w:rPr>
        <w:t xml:space="preserve"> </w:t>
      </w:r>
      <w:r w:rsidRPr="002837A0">
        <w:rPr>
          <w:sz w:val="22"/>
          <w:szCs w:val="22"/>
          <w:lang w:val="fr-FR"/>
        </w:rPr>
        <w:t>et a vocation religieuse</w:t>
      </w:r>
      <w:r w:rsidR="00AC45F0" w:rsidRPr="002837A0">
        <w:rPr>
          <w:sz w:val="22"/>
          <w:szCs w:val="22"/>
          <w:lang w:val="fr-FR"/>
        </w:rPr>
        <w:t xml:space="preserve"> et dont l</w:t>
      </w:r>
      <w:r w:rsidR="00F10352" w:rsidRPr="002837A0">
        <w:rPr>
          <w:sz w:val="22"/>
          <w:szCs w:val="22"/>
          <w:lang w:val="fr-FR"/>
        </w:rPr>
        <w:t xml:space="preserve">’objectif </w:t>
      </w:r>
      <w:r w:rsidR="00AC45F0" w:rsidRPr="002837A0">
        <w:rPr>
          <w:sz w:val="22"/>
          <w:szCs w:val="22"/>
          <w:lang w:val="fr-FR"/>
        </w:rPr>
        <w:t xml:space="preserve">principal </w:t>
      </w:r>
      <w:r w:rsidR="00F10352" w:rsidRPr="002837A0">
        <w:rPr>
          <w:sz w:val="22"/>
          <w:szCs w:val="22"/>
          <w:lang w:val="fr-FR"/>
        </w:rPr>
        <w:t>vise à travers</w:t>
      </w:r>
      <w:r w:rsidR="00AC45F0" w:rsidRPr="002837A0">
        <w:rPr>
          <w:sz w:val="22"/>
          <w:szCs w:val="22"/>
          <w:lang w:val="fr-FR"/>
        </w:rPr>
        <w:t xml:space="preserve"> la subvention est de nature religieuse</w:t>
      </w:r>
    </w:p>
    <w:p w14:paraId="134C0E72" w14:textId="77777777" w:rsidR="00326A37" w:rsidRPr="002837A0" w:rsidRDefault="00AC45F0" w:rsidP="00326A37">
      <w:pPr>
        <w:pStyle w:val="ListParagraph"/>
        <w:numPr>
          <w:ilvl w:val="0"/>
          <w:numId w:val="28"/>
        </w:numPr>
        <w:pBdr>
          <w:top w:val="nil"/>
          <w:left w:val="nil"/>
          <w:bottom w:val="nil"/>
          <w:right w:val="nil"/>
          <w:between w:val="nil"/>
        </w:pBdr>
        <w:suppressAutoHyphens w:val="0"/>
        <w:spacing w:after="160"/>
        <w:ind w:right="-540"/>
        <w:jc w:val="both"/>
        <w:rPr>
          <w:sz w:val="22"/>
          <w:szCs w:val="22"/>
          <w:lang w:val="fr-FR"/>
        </w:rPr>
      </w:pPr>
      <w:r w:rsidRPr="002837A0">
        <w:rPr>
          <w:sz w:val="22"/>
          <w:szCs w:val="22"/>
          <w:lang w:val="fr-FR"/>
        </w:rPr>
        <w:t xml:space="preserve">Toute entité dont le nom apparaît sur la liste des parties exclues des programmes fédéraux de passation </w:t>
      </w:r>
      <w:r w:rsidR="00F10352" w:rsidRPr="002837A0">
        <w:rPr>
          <w:sz w:val="22"/>
          <w:szCs w:val="22"/>
          <w:lang w:val="fr-FR"/>
        </w:rPr>
        <w:t xml:space="preserve">et de non-passation </w:t>
      </w:r>
      <w:r w:rsidRPr="002837A0">
        <w:rPr>
          <w:sz w:val="22"/>
          <w:szCs w:val="22"/>
          <w:lang w:val="fr-FR"/>
        </w:rPr>
        <w:t>des marchés (http: //www.epls.gov/)</w:t>
      </w:r>
    </w:p>
    <w:p w14:paraId="3E927DCF" w14:textId="54D97B36" w:rsidR="00326A37" w:rsidRPr="002837A0" w:rsidRDefault="00F10352" w:rsidP="00326A37">
      <w:pPr>
        <w:pStyle w:val="ListParagraph"/>
        <w:numPr>
          <w:ilvl w:val="0"/>
          <w:numId w:val="28"/>
        </w:numPr>
        <w:pBdr>
          <w:top w:val="nil"/>
          <w:left w:val="nil"/>
          <w:bottom w:val="nil"/>
          <w:right w:val="nil"/>
          <w:between w:val="nil"/>
        </w:pBdr>
        <w:suppressAutoHyphens w:val="0"/>
        <w:spacing w:after="160"/>
        <w:ind w:right="-540"/>
        <w:jc w:val="both"/>
        <w:rPr>
          <w:sz w:val="22"/>
          <w:szCs w:val="22"/>
          <w:lang w:val="fr-FR"/>
        </w:rPr>
      </w:pPr>
      <w:r w:rsidRPr="002837A0">
        <w:rPr>
          <w:sz w:val="22"/>
          <w:szCs w:val="22"/>
          <w:lang w:val="fr-FR"/>
        </w:rPr>
        <w:t xml:space="preserve">Toute entité dont un membre figure sur la liste des Ressortissants Spécialement Désignés (SDN) et des </w:t>
      </w:r>
      <w:r w:rsidR="00326A37" w:rsidRPr="002837A0">
        <w:rPr>
          <w:sz w:val="22"/>
          <w:szCs w:val="22"/>
          <w:lang w:val="fr-FR"/>
        </w:rPr>
        <w:t xml:space="preserve">   </w:t>
      </w:r>
      <w:r w:rsidRPr="002837A0">
        <w:rPr>
          <w:sz w:val="22"/>
          <w:szCs w:val="22"/>
          <w:lang w:val="fr-FR"/>
        </w:rPr>
        <w:t>Personnes Bloquées du Département du Trésor Américain (OFAC).</w:t>
      </w:r>
    </w:p>
    <w:p w14:paraId="5A4B7832" w14:textId="3C019A14" w:rsidR="00F10352" w:rsidRPr="002837A0" w:rsidRDefault="00326A37" w:rsidP="00326A37">
      <w:pPr>
        <w:pStyle w:val="ListParagraph"/>
        <w:numPr>
          <w:ilvl w:val="0"/>
          <w:numId w:val="28"/>
        </w:numPr>
        <w:pBdr>
          <w:top w:val="nil"/>
          <w:left w:val="nil"/>
          <w:bottom w:val="nil"/>
          <w:right w:val="nil"/>
          <w:between w:val="nil"/>
        </w:pBdr>
        <w:suppressAutoHyphens w:val="0"/>
        <w:spacing w:after="160"/>
        <w:ind w:right="-540"/>
        <w:jc w:val="both"/>
        <w:rPr>
          <w:sz w:val="22"/>
          <w:szCs w:val="22"/>
          <w:lang w:val="fr-FR"/>
        </w:rPr>
      </w:pPr>
      <w:r w:rsidRPr="002837A0">
        <w:rPr>
          <w:sz w:val="22"/>
          <w:szCs w:val="22"/>
          <w:lang w:val="fr-FR"/>
        </w:rPr>
        <w:t xml:space="preserve"> </w:t>
      </w:r>
      <w:r w:rsidR="00F10352" w:rsidRPr="002837A0">
        <w:rPr>
          <w:sz w:val="22"/>
          <w:szCs w:val="22"/>
          <w:lang w:val="fr-FR"/>
        </w:rPr>
        <w:t xml:space="preserve">Une entité ayant pour personnel clé un parent direct (conjoint, enfant, parent ou frère / sœur / frère) </w:t>
      </w:r>
      <w:r w:rsidRPr="002837A0">
        <w:rPr>
          <w:sz w:val="22"/>
          <w:szCs w:val="22"/>
          <w:lang w:val="fr-FR"/>
        </w:rPr>
        <w:t xml:space="preserve">d’un employé </w:t>
      </w:r>
      <w:r w:rsidR="00F10352" w:rsidRPr="002837A0">
        <w:rPr>
          <w:sz w:val="22"/>
          <w:szCs w:val="22"/>
          <w:lang w:val="fr-FR"/>
        </w:rPr>
        <w:t xml:space="preserve">de </w:t>
      </w:r>
      <w:r w:rsidR="00BB0A57" w:rsidRPr="002837A0">
        <w:rPr>
          <w:sz w:val="22"/>
          <w:szCs w:val="22"/>
          <w:lang w:val="fr-FR"/>
        </w:rPr>
        <w:t>CNFA</w:t>
      </w:r>
      <w:r w:rsidR="00F10352" w:rsidRPr="002837A0">
        <w:rPr>
          <w:sz w:val="22"/>
          <w:szCs w:val="22"/>
          <w:lang w:val="fr-FR"/>
        </w:rPr>
        <w:t xml:space="preserve"> ou de l'USDA</w:t>
      </w:r>
    </w:p>
    <w:p w14:paraId="34B0415D" w14:textId="77777777" w:rsidR="00326A37" w:rsidRPr="002837A0" w:rsidRDefault="00326A37" w:rsidP="00326A37">
      <w:pPr>
        <w:pStyle w:val="ListParagraph"/>
        <w:numPr>
          <w:ilvl w:val="0"/>
          <w:numId w:val="29"/>
        </w:numPr>
        <w:pBdr>
          <w:top w:val="nil"/>
          <w:left w:val="nil"/>
          <w:bottom w:val="nil"/>
          <w:right w:val="nil"/>
          <w:between w:val="nil"/>
        </w:pBdr>
        <w:suppressAutoHyphens w:val="0"/>
        <w:spacing w:after="160"/>
        <w:ind w:right="-540"/>
        <w:jc w:val="both"/>
        <w:rPr>
          <w:sz w:val="22"/>
          <w:szCs w:val="22"/>
          <w:lang w:val="fr-FR"/>
        </w:rPr>
      </w:pPr>
      <w:r w:rsidRPr="002837A0">
        <w:rPr>
          <w:sz w:val="22"/>
          <w:szCs w:val="22"/>
          <w:lang w:val="fr-FR"/>
        </w:rPr>
        <w:t>Les entités ou membres engagés dans des activités liées à la traite des personnes;</w:t>
      </w:r>
    </w:p>
    <w:p w14:paraId="2BD147CB" w14:textId="77777777" w:rsidR="00326A37" w:rsidRPr="002837A0" w:rsidRDefault="00326A37" w:rsidP="00326A37">
      <w:pPr>
        <w:pStyle w:val="ListParagraph"/>
        <w:numPr>
          <w:ilvl w:val="0"/>
          <w:numId w:val="29"/>
        </w:numPr>
        <w:pBdr>
          <w:top w:val="nil"/>
          <w:left w:val="nil"/>
          <w:bottom w:val="nil"/>
          <w:right w:val="nil"/>
          <w:between w:val="nil"/>
        </w:pBdr>
        <w:suppressAutoHyphens w:val="0"/>
        <w:spacing w:after="160"/>
        <w:ind w:right="-540"/>
        <w:jc w:val="both"/>
        <w:rPr>
          <w:sz w:val="22"/>
          <w:szCs w:val="22"/>
          <w:lang w:val="fr-FR"/>
        </w:rPr>
      </w:pPr>
      <w:r w:rsidRPr="002837A0">
        <w:rPr>
          <w:sz w:val="22"/>
          <w:szCs w:val="22"/>
          <w:lang w:val="fr-FR"/>
        </w:rPr>
        <w:t>Les entités ou membres engagés, effectuant des transactions ou fournissant des ressources à des individus ou des organisations associés au terrorisme;</w:t>
      </w:r>
    </w:p>
    <w:p w14:paraId="0FFA2DDD" w14:textId="059CFF97" w:rsidR="00326A37" w:rsidRPr="002837A0" w:rsidRDefault="00326A37" w:rsidP="00326A37">
      <w:pPr>
        <w:pStyle w:val="ListParagraph"/>
        <w:numPr>
          <w:ilvl w:val="0"/>
          <w:numId w:val="29"/>
        </w:numPr>
        <w:pBdr>
          <w:top w:val="nil"/>
          <w:left w:val="nil"/>
          <w:bottom w:val="nil"/>
          <w:right w:val="nil"/>
          <w:between w:val="nil"/>
        </w:pBdr>
        <w:suppressAutoHyphens w:val="0"/>
        <w:spacing w:after="160"/>
        <w:ind w:right="-540"/>
        <w:jc w:val="both"/>
        <w:rPr>
          <w:sz w:val="22"/>
          <w:szCs w:val="22"/>
          <w:lang w:val="fr-FR"/>
        </w:rPr>
      </w:pPr>
      <w:r w:rsidRPr="002837A0">
        <w:rPr>
          <w:sz w:val="22"/>
          <w:szCs w:val="22"/>
          <w:lang w:val="fr-FR"/>
        </w:rPr>
        <w:t>Entités qui ont été exclues, suspendues ou autrement jugées inéligibles pour une attribution par le Gouvernement Américain.</w:t>
      </w:r>
    </w:p>
    <w:p w14:paraId="723ACA99" w14:textId="0D6A893E" w:rsidR="00CF7B3E" w:rsidRPr="002837A0" w:rsidRDefault="00CF7B3E" w:rsidP="00453509">
      <w:pPr>
        <w:pBdr>
          <w:top w:val="nil"/>
          <w:left w:val="nil"/>
          <w:bottom w:val="nil"/>
          <w:right w:val="nil"/>
          <w:between w:val="nil"/>
        </w:pBdr>
        <w:suppressAutoHyphens w:val="0"/>
        <w:spacing w:after="160"/>
        <w:ind w:left="567" w:right="-540"/>
        <w:contextualSpacing/>
        <w:jc w:val="both"/>
        <w:rPr>
          <w:sz w:val="22"/>
          <w:szCs w:val="22"/>
          <w:lang w:val="fr-FR"/>
        </w:rPr>
      </w:pPr>
    </w:p>
    <w:p w14:paraId="4B1FCAF1" w14:textId="460801D5" w:rsidR="00CF7B3E" w:rsidRPr="002837A0" w:rsidRDefault="00CF7B3E" w:rsidP="00CF7B3E">
      <w:pPr>
        <w:suppressAutoHyphens w:val="0"/>
        <w:spacing w:before="120" w:after="120"/>
        <w:jc w:val="both"/>
        <w:rPr>
          <w:rFonts w:eastAsia="Calibri"/>
          <w:kern w:val="24"/>
          <w:sz w:val="22"/>
          <w:szCs w:val="22"/>
          <w:lang w:val="fr-FR"/>
        </w:rPr>
      </w:pPr>
    </w:p>
    <w:p w14:paraId="3C3B3267" w14:textId="6360884B" w:rsidR="00CA5186" w:rsidRPr="002837A0" w:rsidRDefault="00CA5186" w:rsidP="00CF7B3E">
      <w:pPr>
        <w:suppressAutoHyphens w:val="0"/>
        <w:spacing w:before="120" w:after="120"/>
        <w:jc w:val="both"/>
        <w:rPr>
          <w:rFonts w:eastAsia="Calibri"/>
          <w:kern w:val="24"/>
          <w:sz w:val="22"/>
          <w:szCs w:val="22"/>
          <w:lang w:val="fr-FR"/>
        </w:rPr>
      </w:pPr>
    </w:p>
    <w:p w14:paraId="095985E8" w14:textId="4A72D4E5" w:rsidR="004D5E67" w:rsidRPr="002837A0" w:rsidRDefault="004D5E67" w:rsidP="00CF7B3E">
      <w:pPr>
        <w:suppressAutoHyphens w:val="0"/>
        <w:spacing w:before="120" w:after="120"/>
        <w:jc w:val="both"/>
        <w:rPr>
          <w:rFonts w:eastAsia="Calibri"/>
          <w:kern w:val="24"/>
          <w:sz w:val="22"/>
          <w:szCs w:val="22"/>
          <w:lang w:val="fr-FR"/>
        </w:rPr>
      </w:pPr>
    </w:p>
    <w:p w14:paraId="325E3733" w14:textId="71D88CDB" w:rsidR="004D5E67" w:rsidRPr="002837A0" w:rsidRDefault="004D5E67" w:rsidP="00CF7B3E">
      <w:pPr>
        <w:suppressAutoHyphens w:val="0"/>
        <w:spacing w:before="120" w:after="120"/>
        <w:jc w:val="both"/>
        <w:rPr>
          <w:rFonts w:eastAsia="Calibri"/>
          <w:kern w:val="24"/>
          <w:sz w:val="22"/>
          <w:szCs w:val="22"/>
          <w:lang w:val="fr-FR"/>
        </w:rPr>
      </w:pPr>
    </w:p>
    <w:p w14:paraId="4450B029" w14:textId="32FFEF4F" w:rsidR="004D5E67" w:rsidRPr="002837A0" w:rsidRDefault="004D5E67" w:rsidP="00CF7B3E">
      <w:pPr>
        <w:suppressAutoHyphens w:val="0"/>
        <w:spacing w:before="120" w:after="120"/>
        <w:jc w:val="both"/>
        <w:rPr>
          <w:rFonts w:eastAsia="Calibri"/>
          <w:kern w:val="24"/>
          <w:sz w:val="22"/>
          <w:szCs w:val="22"/>
          <w:lang w:val="fr-FR"/>
        </w:rPr>
      </w:pPr>
    </w:p>
    <w:p w14:paraId="15C70FD7" w14:textId="7E7A7DE7" w:rsidR="00326A37" w:rsidRPr="002837A0" w:rsidRDefault="00326A37" w:rsidP="00326A37">
      <w:pPr>
        <w:suppressAutoHyphens w:val="0"/>
        <w:spacing w:after="200"/>
        <w:jc w:val="both"/>
        <w:rPr>
          <w:rFonts w:eastAsia="Calibri"/>
          <w:b/>
          <w:sz w:val="22"/>
          <w:szCs w:val="22"/>
          <w:lang w:val="fr-FR"/>
        </w:rPr>
      </w:pPr>
      <w:r w:rsidRPr="002837A0">
        <w:rPr>
          <w:rFonts w:eastAsia="Calibri"/>
          <w:b/>
          <w:sz w:val="22"/>
          <w:szCs w:val="22"/>
          <w:lang w:val="fr-FR"/>
        </w:rPr>
        <w:t>IID. Activités éligibles</w:t>
      </w:r>
    </w:p>
    <w:p w14:paraId="10B7742A" w14:textId="77777777" w:rsidR="00326A37" w:rsidRPr="002837A0" w:rsidRDefault="00326A37" w:rsidP="00326A37">
      <w:pPr>
        <w:suppressAutoHyphens w:val="0"/>
        <w:spacing w:after="200"/>
        <w:jc w:val="both"/>
        <w:rPr>
          <w:rFonts w:eastAsia="Calibri"/>
          <w:sz w:val="22"/>
          <w:szCs w:val="22"/>
          <w:lang w:val="fr-FR"/>
        </w:rPr>
      </w:pPr>
      <w:r w:rsidRPr="002837A0">
        <w:rPr>
          <w:rFonts w:eastAsia="Calibri"/>
          <w:sz w:val="22"/>
          <w:szCs w:val="22"/>
          <w:lang w:val="fr-FR"/>
        </w:rPr>
        <w:t>Les activités financées par PRO-Cashew à la suite de cette demande de soumissions répondront aux critères supplémentaires:</w:t>
      </w:r>
    </w:p>
    <w:p w14:paraId="68F0268D" w14:textId="1BD7ED49" w:rsidR="00326A37" w:rsidRPr="002837A0" w:rsidRDefault="00326A37" w:rsidP="00326A37">
      <w:pPr>
        <w:pStyle w:val="ListParagraph"/>
        <w:numPr>
          <w:ilvl w:val="0"/>
          <w:numId w:val="15"/>
        </w:numPr>
        <w:suppressAutoHyphens w:val="0"/>
        <w:spacing w:after="200"/>
        <w:jc w:val="both"/>
        <w:rPr>
          <w:rFonts w:eastAsia="Calibri"/>
          <w:sz w:val="22"/>
          <w:szCs w:val="22"/>
          <w:lang w:val="fr-FR"/>
        </w:rPr>
      </w:pPr>
      <w:r w:rsidRPr="002837A0">
        <w:rPr>
          <w:rFonts w:eastAsia="Calibri"/>
          <w:sz w:val="22"/>
          <w:szCs w:val="22"/>
          <w:lang w:val="fr-FR"/>
        </w:rPr>
        <w:t>Le coût du personnel technique externe, des partenaires d'exécution ou des contractants affectés au projet pour fournir des services spécifiques, dont:</w:t>
      </w:r>
    </w:p>
    <w:p w14:paraId="444EC976" w14:textId="77777777" w:rsidR="00AA0CD6" w:rsidRPr="002837A0" w:rsidRDefault="00AA0CD6" w:rsidP="00326A37">
      <w:pPr>
        <w:pStyle w:val="ListParagraph"/>
        <w:numPr>
          <w:ilvl w:val="0"/>
          <w:numId w:val="30"/>
        </w:numPr>
        <w:suppressAutoHyphens w:val="0"/>
        <w:spacing w:after="200"/>
        <w:jc w:val="both"/>
        <w:rPr>
          <w:rFonts w:eastAsia="Calibri"/>
          <w:sz w:val="22"/>
          <w:szCs w:val="22"/>
          <w:lang w:val="fr-FR"/>
        </w:rPr>
      </w:pPr>
      <w:r w:rsidRPr="002837A0">
        <w:rPr>
          <w:rFonts w:eastAsia="Calibri"/>
          <w:sz w:val="22"/>
          <w:szCs w:val="22"/>
          <w:lang w:val="fr-FR"/>
        </w:rPr>
        <w:t>L’i</w:t>
      </w:r>
      <w:r w:rsidR="00326A37" w:rsidRPr="002837A0">
        <w:rPr>
          <w:rFonts w:eastAsia="Calibri"/>
          <w:sz w:val="22"/>
          <w:szCs w:val="22"/>
          <w:lang w:val="fr-FR"/>
        </w:rPr>
        <w:t>ntroduction à la formation des formateurs (ToT)</w:t>
      </w:r>
    </w:p>
    <w:p w14:paraId="572F58D0" w14:textId="77777777" w:rsidR="00AA0CD6" w:rsidRPr="002837A0" w:rsidRDefault="00AA0CD6" w:rsidP="00326A37">
      <w:pPr>
        <w:pStyle w:val="ListParagraph"/>
        <w:numPr>
          <w:ilvl w:val="0"/>
          <w:numId w:val="30"/>
        </w:numPr>
        <w:suppressAutoHyphens w:val="0"/>
        <w:spacing w:after="200"/>
        <w:jc w:val="both"/>
        <w:rPr>
          <w:rFonts w:eastAsia="Calibri"/>
          <w:sz w:val="22"/>
          <w:szCs w:val="22"/>
          <w:lang w:val="fr-FR"/>
        </w:rPr>
      </w:pPr>
      <w:r w:rsidRPr="002837A0">
        <w:rPr>
          <w:rFonts w:eastAsia="Calibri"/>
          <w:sz w:val="22"/>
          <w:szCs w:val="22"/>
          <w:lang w:val="fr-FR"/>
        </w:rPr>
        <w:t>La r</w:t>
      </w:r>
      <w:r w:rsidR="00326A37" w:rsidRPr="002837A0">
        <w:rPr>
          <w:rFonts w:eastAsia="Calibri"/>
          <w:sz w:val="22"/>
          <w:szCs w:val="22"/>
          <w:lang w:val="fr-FR"/>
        </w:rPr>
        <w:t xml:space="preserve">écolte et </w:t>
      </w:r>
      <w:r w:rsidRPr="002837A0">
        <w:rPr>
          <w:rFonts w:eastAsia="Calibri"/>
          <w:sz w:val="22"/>
          <w:szCs w:val="22"/>
          <w:lang w:val="fr-FR"/>
        </w:rPr>
        <w:t>l’après récolte</w:t>
      </w:r>
      <w:r w:rsidR="00326A37" w:rsidRPr="002837A0">
        <w:rPr>
          <w:rFonts w:eastAsia="Calibri"/>
          <w:sz w:val="22"/>
          <w:szCs w:val="22"/>
          <w:lang w:val="fr-FR"/>
        </w:rPr>
        <w:t xml:space="preserve"> (novembre-décembre)</w:t>
      </w:r>
    </w:p>
    <w:p w14:paraId="2597F9C1" w14:textId="77777777" w:rsidR="00AA0CD6" w:rsidRPr="002837A0" w:rsidRDefault="00326A37" w:rsidP="00326A37">
      <w:pPr>
        <w:pStyle w:val="ListParagraph"/>
        <w:numPr>
          <w:ilvl w:val="0"/>
          <w:numId w:val="30"/>
        </w:numPr>
        <w:suppressAutoHyphens w:val="0"/>
        <w:spacing w:after="200"/>
        <w:jc w:val="both"/>
        <w:rPr>
          <w:rFonts w:eastAsia="Calibri"/>
          <w:sz w:val="22"/>
          <w:szCs w:val="22"/>
          <w:lang w:val="fr-FR"/>
        </w:rPr>
      </w:pPr>
      <w:r w:rsidRPr="002837A0">
        <w:rPr>
          <w:rFonts w:eastAsia="Calibri"/>
          <w:sz w:val="22"/>
          <w:szCs w:val="22"/>
          <w:lang w:val="fr-FR"/>
        </w:rPr>
        <w:t>Business Cashew 101 (juin-juillet)</w:t>
      </w:r>
    </w:p>
    <w:p w14:paraId="40F1E59D" w14:textId="77777777" w:rsidR="00AA0CD6" w:rsidRPr="002837A0" w:rsidRDefault="00326A37" w:rsidP="00326A37">
      <w:pPr>
        <w:pStyle w:val="ListParagraph"/>
        <w:numPr>
          <w:ilvl w:val="0"/>
          <w:numId w:val="30"/>
        </w:numPr>
        <w:suppressAutoHyphens w:val="0"/>
        <w:spacing w:after="200"/>
        <w:jc w:val="both"/>
        <w:rPr>
          <w:rFonts w:eastAsia="Calibri"/>
          <w:sz w:val="22"/>
          <w:szCs w:val="22"/>
          <w:lang w:val="fr-FR"/>
        </w:rPr>
      </w:pPr>
      <w:r w:rsidRPr="002837A0">
        <w:rPr>
          <w:rFonts w:eastAsia="Calibri"/>
          <w:sz w:val="22"/>
          <w:szCs w:val="22"/>
          <w:lang w:val="fr-FR"/>
        </w:rPr>
        <w:t>Changement climatique et résilience du cajou (Année 2)</w:t>
      </w:r>
    </w:p>
    <w:p w14:paraId="64A41929" w14:textId="77777777" w:rsidR="00AA0CD6" w:rsidRPr="002837A0" w:rsidRDefault="00AA0CD6" w:rsidP="00326A37">
      <w:pPr>
        <w:pStyle w:val="ListParagraph"/>
        <w:numPr>
          <w:ilvl w:val="0"/>
          <w:numId w:val="30"/>
        </w:numPr>
        <w:suppressAutoHyphens w:val="0"/>
        <w:spacing w:after="200"/>
        <w:jc w:val="both"/>
        <w:rPr>
          <w:rFonts w:eastAsia="Calibri"/>
          <w:sz w:val="22"/>
          <w:szCs w:val="22"/>
          <w:lang w:val="fr-FR"/>
        </w:rPr>
      </w:pPr>
      <w:r w:rsidRPr="002837A0">
        <w:rPr>
          <w:rFonts w:eastAsia="Calibri"/>
          <w:sz w:val="22"/>
          <w:szCs w:val="22"/>
          <w:lang w:val="fr-FR"/>
        </w:rPr>
        <w:t>Le p</w:t>
      </w:r>
      <w:r w:rsidR="00326A37" w:rsidRPr="002837A0">
        <w:rPr>
          <w:rFonts w:eastAsia="Calibri"/>
          <w:sz w:val="22"/>
          <w:szCs w:val="22"/>
          <w:lang w:val="fr-FR"/>
        </w:rPr>
        <w:t>rocessus de certification des normes (Année 2 ou 3)</w:t>
      </w:r>
    </w:p>
    <w:p w14:paraId="3B918311" w14:textId="36C161D1" w:rsidR="001D193E" w:rsidRPr="002837A0" w:rsidRDefault="00AA0CD6" w:rsidP="00326A37">
      <w:pPr>
        <w:pStyle w:val="ListParagraph"/>
        <w:numPr>
          <w:ilvl w:val="0"/>
          <w:numId w:val="30"/>
        </w:numPr>
        <w:suppressAutoHyphens w:val="0"/>
        <w:spacing w:after="200"/>
        <w:jc w:val="both"/>
        <w:rPr>
          <w:rFonts w:eastAsia="Calibri"/>
          <w:sz w:val="22"/>
          <w:szCs w:val="22"/>
          <w:lang w:val="fr-FR"/>
        </w:rPr>
      </w:pPr>
      <w:r w:rsidRPr="002837A0">
        <w:rPr>
          <w:rFonts w:eastAsia="Calibri"/>
          <w:sz w:val="22"/>
          <w:szCs w:val="22"/>
          <w:lang w:val="fr-FR"/>
        </w:rPr>
        <w:t>Les Bonnes Pratiques A</w:t>
      </w:r>
      <w:r w:rsidR="00326A37" w:rsidRPr="002837A0">
        <w:rPr>
          <w:rFonts w:eastAsia="Calibri"/>
          <w:sz w:val="22"/>
          <w:szCs w:val="22"/>
          <w:lang w:val="fr-FR"/>
        </w:rPr>
        <w:t>gricoles (août-septembre)</w:t>
      </w:r>
    </w:p>
    <w:p w14:paraId="75F2FF26" w14:textId="77777777" w:rsidR="00B51877" w:rsidRPr="002837A0" w:rsidRDefault="00B51877" w:rsidP="00B51877">
      <w:pPr>
        <w:pStyle w:val="ListParagraph"/>
        <w:numPr>
          <w:ilvl w:val="0"/>
          <w:numId w:val="15"/>
        </w:numPr>
        <w:suppressAutoHyphens w:val="0"/>
        <w:spacing w:after="200"/>
        <w:jc w:val="both"/>
        <w:rPr>
          <w:rFonts w:eastAsia="Calibri"/>
          <w:sz w:val="22"/>
          <w:szCs w:val="22"/>
          <w:lang w:val="fr-FR"/>
        </w:rPr>
      </w:pPr>
      <w:r w:rsidRPr="002837A0">
        <w:rPr>
          <w:rFonts w:eastAsia="Calibri"/>
          <w:sz w:val="22"/>
          <w:szCs w:val="22"/>
          <w:lang w:val="fr-FR"/>
        </w:rPr>
        <w:t>Frais de voyage et de séjour du personnel technique susmentionné, lorsque ces déplacements sont pertinents pour l'exécution des activités du projet</w:t>
      </w:r>
    </w:p>
    <w:p w14:paraId="4D5857BC" w14:textId="44C5456F" w:rsidR="00085D03" w:rsidRPr="002837A0" w:rsidRDefault="00B51877" w:rsidP="00EB4497">
      <w:pPr>
        <w:pStyle w:val="ListParagraph"/>
        <w:numPr>
          <w:ilvl w:val="0"/>
          <w:numId w:val="15"/>
        </w:numPr>
        <w:suppressAutoHyphens w:val="0"/>
        <w:spacing w:after="200"/>
        <w:jc w:val="both"/>
        <w:rPr>
          <w:rFonts w:eastAsia="Calibri"/>
          <w:sz w:val="22"/>
          <w:szCs w:val="22"/>
          <w:lang w:val="fr-FR"/>
        </w:rPr>
      </w:pPr>
      <w:r w:rsidRPr="002837A0">
        <w:rPr>
          <w:rFonts w:eastAsia="Calibri"/>
          <w:sz w:val="22"/>
          <w:szCs w:val="22"/>
          <w:lang w:val="fr-FR"/>
        </w:rPr>
        <w:t>Coût de la recherche et de la diffusion d'informations, de l'impression, etc.</w:t>
      </w:r>
    </w:p>
    <w:p w14:paraId="4AE728C7" w14:textId="77777777" w:rsidR="00B51877" w:rsidRPr="002837A0" w:rsidRDefault="00B51877" w:rsidP="00B51877">
      <w:pPr>
        <w:pStyle w:val="NormalWeb"/>
        <w:jc w:val="both"/>
        <w:rPr>
          <w:b/>
          <w:bCs/>
          <w:sz w:val="22"/>
          <w:szCs w:val="22"/>
          <w:lang w:val="fr-FR"/>
        </w:rPr>
      </w:pPr>
      <w:r w:rsidRPr="002837A0">
        <w:rPr>
          <w:b/>
          <w:bCs/>
          <w:sz w:val="22"/>
          <w:szCs w:val="22"/>
          <w:lang w:val="fr-FR"/>
        </w:rPr>
        <w:t>IIE. Activités non admissibles et coûts non admissibles</w:t>
      </w:r>
    </w:p>
    <w:p w14:paraId="34F77730" w14:textId="21144691" w:rsidR="00B51877" w:rsidRPr="002837A0" w:rsidRDefault="00B51877" w:rsidP="00B51877">
      <w:pPr>
        <w:pStyle w:val="NormalWeb"/>
        <w:jc w:val="both"/>
        <w:rPr>
          <w:bCs/>
          <w:sz w:val="22"/>
          <w:szCs w:val="22"/>
          <w:lang w:val="fr-FR"/>
        </w:rPr>
      </w:pPr>
      <w:r w:rsidRPr="002837A0">
        <w:rPr>
          <w:bCs/>
          <w:sz w:val="22"/>
          <w:szCs w:val="22"/>
          <w:lang w:val="fr-FR"/>
        </w:rPr>
        <w:t>Les fonds de subvention ne peuvent pas être utilisés pour:</w:t>
      </w:r>
    </w:p>
    <w:p w14:paraId="33F0B49F" w14:textId="77777777" w:rsidR="00B51877" w:rsidRPr="002837A0" w:rsidRDefault="00B51877" w:rsidP="00B51877">
      <w:pPr>
        <w:pStyle w:val="ListParagraph"/>
        <w:numPr>
          <w:ilvl w:val="0"/>
          <w:numId w:val="5"/>
        </w:numPr>
        <w:suppressAutoHyphens w:val="0"/>
        <w:spacing w:before="120" w:after="200"/>
        <w:jc w:val="both"/>
        <w:rPr>
          <w:rFonts w:eastAsia="Calibri"/>
          <w:kern w:val="24"/>
          <w:sz w:val="22"/>
          <w:szCs w:val="22"/>
          <w:lang w:val="fr-FR"/>
        </w:rPr>
      </w:pPr>
      <w:r w:rsidRPr="002837A0">
        <w:rPr>
          <w:rFonts w:eastAsia="Calibri"/>
          <w:kern w:val="24"/>
          <w:sz w:val="22"/>
          <w:szCs w:val="22"/>
          <w:lang w:val="fr-FR"/>
        </w:rPr>
        <w:t>Les cérémonies privées, fêtes, célébrations ou dépenses de «représentation».</w:t>
      </w:r>
    </w:p>
    <w:p w14:paraId="425325B6" w14:textId="77777777" w:rsidR="00B51877" w:rsidRPr="002837A0" w:rsidRDefault="00B51877" w:rsidP="00B51877">
      <w:pPr>
        <w:pStyle w:val="ListParagraph"/>
        <w:numPr>
          <w:ilvl w:val="0"/>
          <w:numId w:val="5"/>
        </w:numPr>
        <w:suppressAutoHyphens w:val="0"/>
        <w:spacing w:before="120" w:after="200"/>
        <w:jc w:val="both"/>
        <w:rPr>
          <w:rFonts w:eastAsia="Calibri"/>
          <w:kern w:val="24"/>
          <w:sz w:val="22"/>
          <w:szCs w:val="22"/>
          <w:lang w:val="fr-FR"/>
        </w:rPr>
      </w:pPr>
      <w:r w:rsidRPr="002837A0">
        <w:rPr>
          <w:rFonts w:eastAsia="Calibri"/>
          <w:kern w:val="24"/>
          <w:sz w:val="22"/>
          <w:szCs w:val="22"/>
          <w:lang w:val="fr-FR"/>
        </w:rPr>
        <w:t>L’achat de terrain</w:t>
      </w:r>
    </w:p>
    <w:p w14:paraId="7C10D6B4" w14:textId="77777777" w:rsidR="001B5615" w:rsidRPr="002837A0" w:rsidRDefault="00B51877" w:rsidP="00B51877">
      <w:pPr>
        <w:pStyle w:val="ListParagraph"/>
        <w:numPr>
          <w:ilvl w:val="0"/>
          <w:numId w:val="5"/>
        </w:numPr>
        <w:suppressAutoHyphens w:val="0"/>
        <w:spacing w:before="120" w:after="200"/>
        <w:jc w:val="both"/>
        <w:rPr>
          <w:rFonts w:eastAsia="Calibri"/>
          <w:kern w:val="24"/>
          <w:sz w:val="22"/>
          <w:szCs w:val="22"/>
          <w:lang w:val="fr-FR"/>
        </w:rPr>
      </w:pPr>
      <w:r w:rsidRPr="002837A0">
        <w:rPr>
          <w:rFonts w:eastAsia="Calibri"/>
          <w:kern w:val="24"/>
          <w:sz w:val="22"/>
          <w:szCs w:val="22"/>
          <w:lang w:val="fr-FR"/>
        </w:rPr>
        <w:t xml:space="preserve">Tous les achats ou activités jugés inutiles pour </w:t>
      </w:r>
      <w:r w:rsidR="00E642B7" w:rsidRPr="002837A0">
        <w:rPr>
          <w:rFonts w:eastAsia="Calibri"/>
          <w:kern w:val="24"/>
          <w:sz w:val="22"/>
          <w:szCs w:val="22"/>
          <w:lang w:val="fr-FR"/>
        </w:rPr>
        <w:t>l’attente d</w:t>
      </w:r>
      <w:r w:rsidRPr="002837A0">
        <w:rPr>
          <w:rFonts w:eastAsia="Calibri"/>
          <w:kern w:val="24"/>
          <w:sz w:val="22"/>
          <w:szCs w:val="22"/>
          <w:lang w:val="fr-FR"/>
        </w:rPr>
        <w:t>es objectifs de la subvention tels que déterminés par PRO-Cashew, y compris les dépenses du siège social du bénéficiaire qui ne sont pas directement liées à la mise en œuvre du projet proposé.</w:t>
      </w:r>
    </w:p>
    <w:p w14:paraId="092B4E8F" w14:textId="77777777" w:rsidR="001B5615" w:rsidRPr="002837A0" w:rsidRDefault="001B5615" w:rsidP="00B51877">
      <w:pPr>
        <w:pStyle w:val="ListParagraph"/>
        <w:numPr>
          <w:ilvl w:val="0"/>
          <w:numId w:val="5"/>
        </w:numPr>
        <w:suppressAutoHyphens w:val="0"/>
        <w:spacing w:before="120" w:after="200"/>
        <w:jc w:val="both"/>
        <w:rPr>
          <w:rFonts w:eastAsia="Calibri"/>
          <w:kern w:val="24"/>
          <w:sz w:val="22"/>
          <w:szCs w:val="22"/>
          <w:lang w:val="fr-FR"/>
        </w:rPr>
      </w:pPr>
      <w:r w:rsidRPr="002837A0">
        <w:rPr>
          <w:rFonts w:eastAsia="Calibri"/>
          <w:kern w:val="24"/>
          <w:sz w:val="22"/>
          <w:szCs w:val="22"/>
          <w:lang w:val="fr-FR"/>
        </w:rPr>
        <w:t>Les o</w:t>
      </w:r>
      <w:r w:rsidR="00B51877" w:rsidRPr="002837A0">
        <w:rPr>
          <w:rFonts w:eastAsia="Calibri"/>
          <w:kern w:val="24"/>
          <w:sz w:val="22"/>
          <w:szCs w:val="22"/>
          <w:lang w:val="fr-FR"/>
        </w:rPr>
        <w:t>bligations antérieures et / ou créances irrécouvrables.</w:t>
      </w:r>
    </w:p>
    <w:p w14:paraId="4360E94E" w14:textId="77777777" w:rsidR="001B5615" w:rsidRPr="002837A0" w:rsidRDefault="001B5615" w:rsidP="00B51877">
      <w:pPr>
        <w:pStyle w:val="ListParagraph"/>
        <w:numPr>
          <w:ilvl w:val="0"/>
          <w:numId w:val="5"/>
        </w:numPr>
        <w:suppressAutoHyphens w:val="0"/>
        <w:spacing w:before="120" w:after="200"/>
        <w:jc w:val="both"/>
        <w:rPr>
          <w:rFonts w:eastAsia="Calibri"/>
          <w:kern w:val="24"/>
          <w:sz w:val="22"/>
          <w:szCs w:val="22"/>
          <w:lang w:val="fr-FR"/>
        </w:rPr>
      </w:pPr>
      <w:r w:rsidRPr="002837A0">
        <w:rPr>
          <w:rFonts w:eastAsia="Calibri"/>
          <w:kern w:val="24"/>
          <w:sz w:val="22"/>
          <w:szCs w:val="22"/>
          <w:lang w:val="fr-FR"/>
        </w:rPr>
        <w:t>Les a</w:t>
      </w:r>
      <w:r w:rsidR="00B51877" w:rsidRPr="002837A0">
        <w:rPr>
          <w:rFonts w:eastAsia="Calibri"/>
          <w:kern w:val="24"/>
          <w:sz w:val="22"/>
          <w:szCs w:val="22"/>
          <w:lang w:val="fr-FR"/>
        </w:rPr>
        <w:t>mendes et / ou pénalités.</w:t>
      </w:r>
    </w:p>
    <w:p w14:paraId="132DC3EA" w14:textId="77777777" w:rsidR="001B5615" w:rsidRPr="002837A0" w:rsidRDefault="001B5615" w:rsidP="00B51877">
      <w:pPr>
        <w:pStyle w:val="ListParagraph"/>
        <w:numPr>
          <w:ilvl w:val="0"/>
          <w:numId w:val="5"/>
        </w:numPr>
        <w:suppressAutoHyphens w:val="0"/>
        <w:spacing w:before="120" w:after="200"/>
        <w:jc w:val="both"/>
        <w:rPr>
          <w:rFonts w:eastAsia="Calibri"/>
          <w:kern w:val="24"/>
          <w:sz w:val="22"/>
          <w:szCs w:val="22"/>
          <w:lang w:val="fr-FR"/>
        </w:rPr>
      </w:pPr>
      <w:r w:rsidRPr="002837A0">
        <w:rPr>
          <w:rFonts w:eastAsia="Calibri"/>
          <w:kern w:val="24"/>
          <w:sz w:val="22"/>
          <w:szCs w:val="22"/>
          <w:lang w:val="fr-FR"/>
        </w:rPr>
        <w:t>La c</w:t>
      </w:r>
      <w:r w:rsidR="00B51877" w:rsidRPr="002837A0">
        <w:rPr>
          <w:rFonts w:eastAsia="Calibri"/>
          <w:kern w:val="24"/>
          <w:sz w:val="22"/>
          <w:szCs w:val="22"/>
          <w:lang w:val="fr-FR"/>
        </w:rPr>
        <w:t>réation de dotations.</w:t>
      </w:r>
    </w:p>
    <w:p w14:paraId="5049EEFE" w14:textId="016F03F1" w:rsidR="001B5615" w:rsidRPr="002837A0" w:rsidRDefault="001B5615" w:rsidP="00B51877">
      <w:pPr>
        <w:pStyle w:val="ListParagraph"/>
        <w:numPr>
          <w:ilvl w:val="0"/>
          <w:numId w:val="5"/>
        </w:numPr>
        <w:suppressAutoHyphens w:val="0"/>
        <w:spacing w:before="120" w:after="200"/>
        <w:jc w:val="both"/>
        <w:rPr>
          <w:rFonts w:eastAsia="Calibri"/>
          <w:kern w:val="24"/>
          <w:sz w:val="22"/>
          <w:szCs w:val="22"/>
          <w:lang w:val="fr-FR"/>
        </w:rPr>
      </w:pPr>
      <w:r w:rsidRPr="002837A0">
        <w:rPr>
          <w:rFonts w:eastAsia="Calibri"/>
          <w:kern w:val="24"/>
          <w:sz w:val="22"/>
          <w:szCs w:val="22"/>
          <w:lang w:val="fr-FR"/>
        </w:rPr>
        <w:t>Les a</w:t>
      </w:r>
      <w:r w:rsidR="00B51877" w:rsidRPr="002837A0">
        <w:rPr>
          <w:rFonts w:eastAsia="Calibri"/>
          <w:kern w:val="24"/>
          <w:sz w:val="22"/>
          <w:szCs w:val="22"/>
          <w:lang w:val="fr-FR"/>
        </w:rPr>
        <w:t>utres coûts non autorisés en vertu des réglementations fédérales</w:t>
      </w:r>
      <w:r w:rsidR="00E20F1F">
        <w:rPr>
          <w:rFonts w:eastAsia="Calibri"/>
          <w:kern w:val="24"/>
          <w:sz w:val="22"/>
          <w:szCs w:val="22"/>
          <w:lang w:val="fr-FR"/>
        </w:rPr>
        <w:t xml:space="preserve"> et</w:t>
      </w:r>
      <w:r w:rsidR="009D60A6">
        <w:rPr>
          <w:rFonts w:eastAsia="Calibri"/>
          <w:kern w:val="24"/>
          <w:sz w:val="22"/>
          <w:szCs w:val="22"/>
          <w:lang w:val="fr-FR"/>
        </w:rPr>
        <w:t>/ou</w:t>
      </w:r>
      <w:r w:rsidR="00E20F1F">
        <w:rPr>
          <w:rFonts w:eastAsia="Calibri"/>
          <w:kern w:val="24"/>
          <w:sz w:val="22"/>
          <w:szCs w:val="22"/>
          <w:lang w:val="fr-FR"/>
        </w:rPr>
        <w:t xml:space="preserve"> de l’USDA</w:t>
      </w:r>
      <w:r w:rsidR="00B51877" w:rsidRPr="002837A0">
        <w:rPr>
          <w:rFonts w:eastAsia="Calibri"/>
          <w:kern w:val="24"/>
          <w:sz w:val="22"/>
          <w:szCs w:val="22"/>
          <w:lang w:val="fr-FR"/>
        </w:rPr>
        <w:t>.</w:t>
      </w:r>
    </w:p>
    <w:p w14:paraId="2A73A30A" w14:textId="77777777" w:rsidR="001B5615" w:rsidRPr="002837A0" w:rsidRDefault="00B51877" w:rsidP="00B51877">
      <w:pPr>
        <w:pStyle w:val="ListParagraph"/>
        <w:numPr>
          <w:ilvl w:val="0"/>
          <w:numId w:val="5"/>
        </w:numPr>
        <w:suppressAutoHyphens w:val="0"/>
        <w:spacing w:before="120" w:after="200"/>
        <w:jc w:val="both"/>
        <w:rPr>
          <w:rFonts w:eastAsia="Calibri"/>
          <w:kern w:val="24"/>
          <w:sz w:val="22"/>
          <w:szCs w:val="22"/>
          <w:lang w:val="fr-FR"/>
        </w:rPr>
      </w:pPr>
      <w:r w:rsidRPr="002837A0">
        <w:rPr>
          <w:rFonts w:eastAsia="Calibri"/>
          <w:kern w:val="24"/>
          <w:sz w:val="22"/>
          <w:szCs w:val="22"/>
          <w:lang w:val="fr-FR"/>
        </w:rPr>
        <w:t>Les coûts indirects tels que, mais sans s'y limiter, les frais généraux ou indirects, sauf si le demandeur a documenté la preuve de ces taux par le biais d'audits ou d'une NICRA émise.</w:t>
      </w:r>
    </w:p>
    <w:p w14:paraId="7912B8E6" w14:textId="77777777" w:rsidR="001B5615" w:rsidRPr="002837A0" w:rsidRDefault="001B5615" w:rsidP="00B51877">
      <w:pPr>
        <w:pStyle w:val="ListParagraph"/>
        <w:numPr>
          <w:ilvl w:val="0"/>
          <w:numId w:val="5"/>
        </w:numPr>
        <w:suppressAutoHyphens w:val="0"/>
        <w:spacing w:before="120" w:after="200"/>
        <w:jc w:val="both"/>
        <w:rPr>
          <w:rFonts w:eastAsia="Calibri"/>
          <w:kern w:val="24"/>
          <w:sz w:val="22"/>
          <w:szCs w:val="22"/>
          <w:lang w:val="fr-FR"/>
        </w:rPr>
      </w:pPr>
      <w:r w:rsidRPr="002837A0">
        <w:rPr>
          <w:rFonts w:eastAsia="Calibri"/>
          <w:kern w:val="24"/>
          <w:sz w:val="22"/>
          <w:szCs w:val="22"/>
          <w:lang w:val="fr-FR"/>
        </w:rPr>
        <w:t xml:space="preserve">Nuire aux </w:t>
      </w:r>
      <w:r w:rsidR="00B51877" w:rsidRPr="002837A0">
        <w:rPr>
          <w:rFonts w:eastAsia="Calibri"/>
          <w:kern w:val="24"/>
          <w:sz w:val="22"/>
          <w:szCs w:val="22"/>
          <w:lang w:val="fr-FR"/>
        </w:rPr>
        <w:t>espèces menacées.</w:t>
      </w:r>
    </w:p>
    <w:p w14:paraId="4AA9E127" w14:textId="0A6A262A" w:rsidR="001B5615" w:rsidRPr="002837A0" w:rsidRDefault="009D60A6" w:rsidP="00B51877">
      <w:pPr>
        <w:pStyle w:val="ListParagraph"/>
        <w:numPr>
          <w:ilvl w:val="0"/>
          <w:numId w:val="5"/>
        </w:numPr>
        <w:suppressAutoHyphens w:val="0"/>
        <w:spacing w:before="120" w:after="200"/>
        <w:jc w:val="both"/>
        <w:rPr>
          <w:rFonts w:eastAsia="Calibri"/>
          <w:kern w:val="24"/>
          <w:sz w:val="22"/>
          <w:szCs w:val="22"/>
          <w:lang w:val="fr-FR"/>
        </w:rPr>
      </w:pPr>
      <w:r>
        <w:rPr>
          <w:rFonts w:eastAsia="Calibri"/>
          <w:kern w:val="24"/>
          <w:sz w:val="22"/>
          <w:szCs w:val="22"/>
          <w:lang w:val="fr-FR"/>
        </w:rPr>
        <w:t>P</w:t>
      </w:r>
      <w:r w:rsidR="001B5615" w:rsidRPr="002837A0">
        <w:rPr>
          <w:rFonts w:eastAsia="Calibri"/>
          <w:kern w:val="24"/>
          <w:sz w:val="22"/>
          <w:szCs w:val="22"/>
          <w:lang w:val="fr-FR"/>
        </w:rPr>
        <w:t>rovoquer</w:t>
      </w:r>
      <w:r w:rsidR="00B51877" w:rsidRPr="002837A0">
        <w:rPr>
          <w:rFonts w:eastAsia="Calibri"/>
          <w:kern w:val="24"/>
          <w:sz w:val="22"/>
          <w:szCs w:val="22"/>
          <w:lang w:val="fr-FR"/>
        </w:rPr>
        <w:t xml:space="preserve"> une dégradation ou une perte des zones humides ou de biodiversité.</w:t>
      </w:r>
    </w:p>
    <w:p w14:paraId="0E9258A7" w14:textId="722F8269" w:rsidR="00B51877" w:rsidRPr="002837A0" w:rsidRDefault="00B51877" w:rsidP="00B51877">
      <w:pPr>
        <w:pStyle w:val="ListParagraph"/>
        <w:numPr>
          <w:ilvl w:val="0"/>
          <w:numId w:val="5"/>
        </w:numPr>
        <w:suppressAutoHyphens w:val="0"/>
        <w:spacing w:before="120" w:after="200"/>
        <w:jc w:val="both"/>
        <w:rPr>
          <w:rFonts w:eastAsia="Calibri"/>
          <w:kern w:val="24"/>
          <w:sz w:val="22"/>
          <w:szCs w:val="22"/>
          <w:lang w:val="fr-FR"/>
        </w:rPr>
      </w:pPr>
      <w:r w:rsidRPr="002837A0">
        <w:rPr>
          <w:rFonts w:eastAsia="Calibri"/>
          <w:kern w:val="24"/>
          <w:sz w:val="22"/>
          <w:szCs w:val="22"/>
          <w:lang w:val="fr-FR"/>
        </w:rPr>
        <w:t>Soutenir les industries extractives (par exemple les mines et les carrières).</w:t>
      </w:r>
    </w:p>
    <w:p w14:paraId="0BCF4AA2" w14:textId="77777777" w:rsidR="00AA224B" w:rsidRPr="002837A0" w:rsidRDefault="001B5615" w:rsidP="001B5615">
      <w:pPr>
        <w:pStyle w:val="ListParagraph"/>
        <w:numPr>
          <w:ilvl w:val="0"/>
          <w:numId w:val="5"/>
        </w:numPr>
        <w:suppressAutoHyphens w:val="0"/>
        <w:spacing w:before="120" w:after="200"/>
        <w:jc w:val="both"/>
        <w:rPr>
          <w:sz w:val="22"/>
          <w:szCs w:val="22"/>
          <w:lang w:val="fr-FR"/>
        </w:rPr>
      </w:pPr>
      <w:r w:rsidRPr="002837A0">
        <w:rPr>
          <w:sz w:val="22"/>
          <w:szCs w:val="22"/>
          <w:lang w:val="fr-FR"/>
        </w:rPr>
        <w:t>Promouvoir la récolte du bois.</w:t>
      </w:r>
    </w:p>
    <w:p w14:paraId="15CCF8B4" w14:textId="77777777" w:rsidR="003B6953" w:rsidRPr="002837A0" w:rsidRDefault="001B5615" w:rsidP="001B5615">
      <w:pPr>
        <w:pStyle w:val="ListParagraph"/>
        <w:numPr>
          <w:ilvl w:val="0"/>
          <w:numId w:val="5"/>
        </w:numPr>
        <w:suppressAutoHyphens w:val="0"/>
        <w:spacing w:before="120" w:after="200"/>
        <w:jc w:val="both"/>
        <w:rPr>
          <w:sz w:val="22"/>
          <w:szCs w:val="22"/>
          <w:lang w:val="fr-FR"/>
        </w:rPr>
      </w:pPr>
      <w:r w:rsidRPr="002837A0">
        <w:rPr>
          <w:sz w:val="22"/>
          <w:szCs w:val="22"/>
          <w:lang w:val="fr-FR"/>
        </w:rPr>
        <w:t>Fournir un soutien pour l</w:t>
      </w:r>
      <w:r w:rsidR="003B6953" w:rsidRPr="002837A0">
        <w:rPr>
          <w:sz w:val="22"/>
          <w:szCs w:val="22"/>
          <w:lang w:val="fr-FR"/>
        </w:rPr>
        <w:t>a délivrance de</w:t>
      </w:r>
      <w:r w:rsidRPr="002837A0">
        <w:rPr>
          <w:sz w:val="22"/>
          <w:szCs w:val="22"/>
          <w:lang w:val="fr-FR"/>
        </w:rPr>
        <w:t xml:space="preserve"> permis réglementaires.</w:t>
      </w:r>
    </w:p>
    <w:p w14:paraId="3BAC5DC7" w14:textId="77777777" w:rsidR="003B6953" w:rsidRPr="002837A0" w:rsidRDefault="003B6953" w:rsidP="001B5615">
      <w:pPr>
        <w:pStyle w:val="ListParagraph"/>
        <w:numPr>
          <w:ilvl w:val="0"/>
          <w:numId w:val="5"/>
        </w:numPr>
        <w:suppressAutoHyphens w:val="0"/>
        <w:spacing w:before="120" w:after="200"/>
        <w:jc w:val="both"/>
        <w:rPr>
          <w:sz w:val="22"/>
          <w:szCs w:val="22"/>
          <w:lang w:val="fr-FR"/>
        </w:rPr>
      </w:pPr>
      <w:r w:rsidRPr="002837A0">
        <w:rPr>
          <w:sz w:val="22"/>
          <w:szCs w:val="22"/>
          <w:lang w:val="fr-FR"/>
        </w:rPr>
        <w:t>Se procurer ou utiliser</w:t>
      </w:r>
      <w:r w:rsidR="001B5615" w:rsidRPr="002837A0">
        <w:rPr>
          <w:sz w:val="22"/>
          <w:szCs w:val="22"/>
          <w:lang w:val="fr-FR"/>
        </w:rPr>
        <w:t xml:space="preserve"> des organismes génétiquement modifiés.</w:t>
      </w:r>
    </w:p>
    <w:p w14:paraId="20E932D4" w14:textId="524B7CCD" w:rsidR="001B5615" w:rsidRPr="002837A0" w:rsidRDefault="001B5615" w:rsidP="001B5615">
      <w:pPr>
        <w:pStyle w:val="ListParagraph"/>
        <w:numPr>
          <w:ilvl w:val="0"/>
          <w:numId w:val="5"/>
        </w:numPr>
        <w:suppressAutoHyphens w:val="0"/>
        <w:spacing w:before="120" w:after="200"/>
        <w:jc w:val="both"/>
        <w:rPr>
          <w:sz w:val="22"/>
          <w:szCs w:val="22"/>
          <w:lang w:val="fr-FR"/>
        </w:rPr>
      </w:pPr>
      <w:r w:rsidRPr="002837A0">
        <w:rPr>
          <w:sz w:val="22"/>
          <w:szCs w:val="22"/>
          <w:lang w:val="fr-FR"/>
        </w:rPr>
        <w:t xml:space="preserve">Tous les autres frais non admissibles par 2 CFR 200 sous-partie E - Exigences administratives uniformes, principes de coût, pour les </w:t>
      </w:r>
      <w:r w:rsidR="003B6953" w:rsidRPr="002837A0">
        <w:rPr>
          <w:sz w:val="22"/>
          <w:szCs w:val="22"/>
          <w:lang w:val="fr-FR"/>
        </w:rPr>
        <w:t>Subventions</w:t>
      </w:r>
      <w:r w:rsidRPr="002837A0">
        <w:rPr>
          <w:sz w:val="22"/>
          <w:szCs w:val="22"/>
          <w:lang w:val="fr-FR"/>
        </w:rPr>
        <w:t xml:space="preserve"> fédérales.</w:t>
      </w:r>
    </w:p>
    <w:p w14:paraId="32128549" w14:textId="7544773B" w:rsidR="00614517" w:rsidRPr="001B5615" w:rsidRDefault="00614517" w:rsidP="00EB4497">
      <w:pPr>
        <w:jc w:val="both"/>
        <w:rPr>
          <w:b/>
          <w:bCs/>
          <w:sz w:val="22"/>
          <w:szCs w:val="22"/>
          <w:lang w:val="fr-FR"/>
        </w:rPr>
      </w:pPr>
    </w:p>
    <w:p w14:paraId="563C0DF9" w14:textId="77777777" w:rsidR="00CD0F5A" w:rsidRDefault="00CD0F5A">
      <w:pPr>
        <w:suppressAutoHyphens w:val="0"/>
        <w:spacing w:after="200" w:line="276" w:lineRule="auto"/>
        <w:rPr>
          <w:b/>
          <w:color w:val="365F91" w:themeColor="accent1" w:themeShade="BF"/>
          <w:sz w:val="28"/>
          <w:szCs w:val="28"/>
          <w:lang w:val="fr-FR" w:eastAsia="zh-CN"/>
        </w:rPr>
      </w:pPr>
      <w:r>
        <w:rPr>
          <w:b/>
          <w:color w:val="365F91" w:themeColor="accent1" w:themeShade="BF"/>
          <w:sz w:val="28"/>
          <w:szCs w:val="28"/>
          <w:lang w:val="fr-FR"/>
        </w:rPr>
        <w:br w:type="page"/>
      </w:r>
    </w:p>
    <w:p w14:paraId="2C8349D3" w14:textId="77777777" w:rsidR="00CD0F5A" w:rsidRDefault="00CD0F5A" w:rsidP="003B6953">
      <w:pPr>
        <w:pStyle w:val="NormalWeb"/>
        <w:jc w:val="both"/>
        <w:rPr>
          <w:b/>
          <w:color w:val="365F91" w:themeColor="accent1" w:themeShade="BF"/>
          <w:sz w:val="28"/>
          <w:szCs w:val="28"/>
          <w:lang w:val="fr-FR"/>
        </w:rPr>
      </w:pPr>
    </w:p>
    <w:p w14:paraId="0306781F" w14:textId="58F0E4B8" w:rsidR="003B6953" w:rsidRPr="004B2058" w:rsidRDefault="003B6953" w:rsidP="003B6953">
      <w:pPr>
        <w:pStyle w:val="NormalWeb"/>
        <w:jc w:val="both"/>
        <w:rPr>
          <w:b/>
          <w:color w:val="365F91" w:themeColor="accent1" w:themeShade="BF"/>
          <w:sz w:val="28"/>
          <w:szCs w:val="28"/>
          <w:lang w:val="fr-FR"/>
        </w:rPr>
      </w:pPr>
      <w:r w:rsidRPr="004B2058">
        <w:rPr>
          <w:b/>
          <w:color w:val="365F91" w:themeColor="accent1" w:themeShade="BF"/>
          <w:sz w:val="28"/>
          <w:szCs w:val="28"/>
          <w:lang w:val="fr-FR"/>
        </w:rPr>
        <w:t>III. SECTION: CRITÈRES D'ÉVALUATION</w:t>
      </w:r>
    </w:p>
    <w:p w14:paraId="5E57C00A" w14:textId="43B3FB78" w:rsidR="008B29E1" w:rsidRDefault="003B6953" w:rsidP="003B6953">
      <w:pPr>
        <w:pStyle w:val="NormalWeb"/>
        <w:spacing w:before="0" w:beforeAutospacing="0" w:after="0" w:afterAutospacing="0"/>
        <w:jc w:val="both"/>
        <w:rPr>
          <w:sz w:val="22"/>
          <w:szCs w:val="22"/>
          <w:lang w:val="fr-FR"/>
        </w:rPr>
      </w:pPr>
      <w:r w:rsidRPr="002837A0">
        <w:rPr>
          <w:sz w:val="22"/>
          <w:szCs w:val="22"/>
          <w:lang w:val="fr-FR"/>
        </w:rPr>
        <w:t>Toutes les demandes soumises en réponse à cette demande de soumissions seront évaluées en fonction des critères énumérés ci-dessous:</w:t>
      </w:r>
    </w:p>
    <w:p w14:paraId="6AC2FFEF" w14:textId="77777777" w:rsidR="00CD0F5A" w:rsidRPr="002837A0" w:rsidRDefault="00CD0F5A" w:rsidP="003B6953">
      <w:pPr>
        <w:pStyle w:val="NormalWeb"/>
        <w:spacing w:before="0" w:beforeAutospacing="0" w:after="0" w:afterAutospacing="0"/>
        <w:jc w:val="both"/>
        <w:rPr>
          <w:sz w:val="22"/>
          <w:szCs w:val="22"/>
          <w:lang w:val="fr-FR"/>
        </w:rPr>
      </w:pPr>
    </w:p>
    <w:tbl>
      <w:tblPr>
        <w:tblW w:w="4308" w:type="pct"/>
        <w:jc w:val="center"/>
        <w:tblLook w:val="04A0" w:firstRow="1" w:lastRow="0" w:firstColumn="1" w:lastColumn="0" w:noHBand="0" w:noVBand="1"/>
      </w:tblPr>
      <w:tblGrid>
        <w:gridCol w:w="6295"/>
        <w:gridCol w:w="1994"/>
      </w:tblGrid>
      <w:tr w:rsidR="00BC6738" w:rsidRPr="00CD0F5A" w14:paraId="28A92515" w14:textId="77777777" w:rsidTr="00F325BA">
        <w:trPr>
          <w:trHeight w:val="286"/>
          <w:jc w:val="center"/>
        </w:trPr>
        <w:tc>
          <w:tcPr>
            <w:tcW w:w="3797" w:type="pct"/>
            <w:tcBorders>
              <w:top w:val="single" w:sz="8" w:space="0" w:color="auto"/>
              <w:left w:val="single" w:sz="8" w:space="0" w:color="auto"/>
              <w:bottom w:val="single" w:sz="8" w:space="0" w:color="auto"/>
              <w:right w:val="single" w:sz="8" w:space="0" w:color="auto"/>
            </w:tcBorders>
            <w:shd w:val="clear" w:color="auto" w:fill="17365D"/>
            <w:vAlign w:val="center"/>
            <w:hideMark/>
          </w:tcPr>
          <w:p w14:paraId="3D86C729" w14:textId="652EC306" w:rsidR="00BC6738" w:rsidRPr="002C1500" w:rsidRDefault="003B6953" w:rsidP="00036824">
            <w:pPr>
              <w:spacing w:before="40" w:after="40"/>
              <w:jc w:val="center"/>
              <w:rPr>
                <w:b/>
                <w:bCs/>
                <w:color w:val="FFFFFF"/>
                <w:sz w:val="22"/>
                <w:szCs w:val="22"/>
              </w:rPr>
            </w:pPr>
            <w:r w:rsidRPr="003B6953">
              <w:rPr>
                <w:b/>
                <w:bCs/>
                <w:color w:val="FFFFFF"/>
                <w:sz w:val="22"/>
                <w:szCs w:val="22"/>
              </w:rPr>
              <w:t>CRITÈRES ILLUSTRATIFS</w:t>
            </w:r>
          </w:p>
        </w:tc>
        <w:tc>
          <w:tcPr>
            <w:tcW w:w="1203" w:type="pct"/>
            <w:tcBorders>
              <w:top w:val="single" w:sz="8" w:space="0" w:color="auto"/>
              <w:left w:val="single" w:sz="8" w:space="0" w:color="auto"/>
              <w:bottom w:val="single" w:sz="8" w:space="0" w:color="auto"/>
              <w:right w:val="single" w:sz="8" w:space="0" w:color="auto"/>
            </w:tcBorders>
            <w:shd w:val="clear" w:color="auto" w:fill="17365D"/>
          </w:tcPr>
          <w:p w14:paraId="76935665" w14:textId="3F9B1F85" w:rsidR="00BC6738" w:rsidRPr="00647582" w:rsidRDefault="00647582" w:rsidP="00036824">
            <w:pPr>
              <w:spacing w:before="40" w:after="40"/>
              <w:jc w:val="center"/>
              <w:rPr>
                <w:b/>
                <w:bCs/>
                <w:color w:val="FFFFFF"/>
                <w:sz w:val="22"/>
                <w:szCs w:val="22"/>
                <w:lang w:val="fr-FR"/>
              </w:rPr>
            </w:pPr>
            <w:r w:rsidRPr="00647582">
              <w:rPr>
                <w:b/>
                <w:bCs/>
                <w:color w:val="FFFFFF"/>
                <w:sz w:val="22"/>
                <w:szCs w:val="22"/>
                <w:lang w:val="fr-FR"/>
              </w:rPr>
              <w:t>POIDS ILLUSTRATIF</w:t>
            </w:r>
          </w:p>
          <w:p w14:paraId="0D664D1E" w14:textId="580519EB" w:rsidR="00BC6738" w:rsidRPr="00647582" w:rsidRDefault="00647582" w:rsidP="00647582">
            <w:pPr>
              <w:spacing w:before="40" w:after="40"/>
              <w:jc w:val="center"/>
              <w:rPr>
                <w:b/>
                <w:bCs/>
                <w:color w:val="FFFFFF"/>
                <w:sz w:val="22"/>
                <w:szCs w:val="22"/>
                <w:lang w:val="fr-FR"/>
              </w:rPr>
            </w:pPr>
            <w:r w:rsidRPr="00647582">
              <w:rPr>
                <w:b/>
                <w:bCs/>
                <w:color w:val="FFFFFF"/>
                <w:sz w:val="22"/>
                <w:szCs w:val="22"/>
                <w:lang w:val="fr-FR"/>
              </w:rPr>
              <w:t xml:space="preserve">(Total de 100 </w:t>
            </w:r>
            <w:r w:rsidR="00BC6738" w:rsidRPr="00647582">
              <w:rPr>
                <w:b/>
                <w:bCs/>
                <w:color w:val="FFFFFF"/>
                <w:sz w:val="22"/>
                <w:szCs w:val="22"/>
                <w:lang w:val="fr-FR"/>
              </w:rPr>
              <w:t>points)</w:t>
            </w:r>
          </w:p>
        </w:tc>
      </w:tr>
      <w:tr w:rsidR="00BC6738" w:rsidRPr="002C1500" w14:paraId="7673C384" w14:textId="77777777" w:rsidTr="00F325BA">
        <w:trPr>
          <w:trHeight w:val="286"/>
          <w:jc w:val="center"/>
        </w:trPr>
        <w:tc>
          <w:tcPr>
            <w:tcW w:w="3797" w:type="pct"/>
            <w:tcBorders>
              <w:top w:val="nil"/>
              <w:left w:val="single" w:sz="8" w:space="0" w:color="auto"/>
              <w:bottom w:val="single" w:sz="8" w:space="0" w:color="auto"/>
              <w:right w:val="single" w:sz="8" w:space="0" w:color="auto"/>
            </w:tcBorders>
            <w:shd w:val="clear" w:color="auto" w:fill="C6D9F1"/>
            <w:hideMark/>
          </w:tcPr>
          <w:p w14:paraId="7C005E68" w14:textId="00992EFE" w:rsidR="00BC6738" w:rsidRPr="002837A0" w:rsidRDefault="003B6953" w:rsidP="003B6953">
            <w:pPr>
              <w:numPr>
                <w:ilvl w:val="0"/>
                <w:numId w:val="4"/>
              </w:numPr>
              <w:suppressAutoHyphens w:val="0"/>
              <w:spacing w:before="40" w:after="40"/>
              <w:contextualSpacing/>
              <w:rPr>
                <w:b/>
                <w:bCs/>
                <w:sz w:val="22"/>
                <w:szCs w:val="22"/>
                <w:lang w:val="fr-FR"/>
              </w:rPr>
            </w:pPr>
            <w:r w:rsidRPr="002837A0">
              <w:rPr>
                <w:b/>
                <w:bCs/>
                <w:sz w:val="22"/>
                <w:szCs w:val="22"/>
                <w:lang w:val="fr-FR"/>
              </w:rPr>
              <w:t>Objectifs de la Proposition et Approche Technique</w:t>
            </w:r>
          </w:p>
        </w:tc>
        <w:tc>
          <w:tcPr>
            <w:tcW w:w="1203" w:type="pct"/>
            <w:tcBorders>
              <w:top w:val="nil"/>
              <w:left w:val="single" w:sz="8" w:space="0" w:color="auto"/>
              <w:bottom w:val="single" w:sz="8" w:space="0" w:color="auto"/>
              <w:right w:val="single" w:sz="8" w:space="0" w:color="auto"/>
            </w:tcBorders>
            <w:shd w:val="clear" w:color="auto" w:fill="C6D9F1"/>
          </w:tcPr>
          <w:p w14:paraId="3532BC6F" w14:textId="0B81AB27" w:rsidR="00BC6738" w:rsidRPr="002837A0" w:rsidRDefault="00B8123C" w:rsidP="00036824">
            <w:pPr>
              <w:spacing w:before="40" w:after="40"/>
              <w:rPr>
                <w:b/>
                <w:bCs/>
                <w:sz w:val="22"/>
                <w:szCs w:val="22"/>
              </w:rPr>
            </w:pPr>
            <w:r w:rsidRPr="002837A0">
              <w:rPr>
                <w:b/>
                <w:bCs/>
                <w:sz w:val="22"/>
                <w:szCs w:val="22"/>
              </w:rPr>
              <w:t>2</w:t>
            </w:r>
            <w:r w:rsidR="00BC6738" w:rsidRPr="002837A0">
              <w:rPr>
                <w:b/>
                <w:bCs/>
                <w:sz w:val="22"/>
                <w:szCs w:val="22"/>
              </w:rPr>
              <w:t>0</w:t>
            </w:r>
            <w:r w:rsidR="00CA2152" w:rsidRPr="002837A0">
              <w:rPr>
                <w:b/>
                <w:bCs/>
                <w:sz w:val="22"/>
                <w:szCs w:val="22"/>
              </w:rPr>
              <w:t>%</w:t>
            </w:r>
          </w:p>
        </w:tc>
      </w:tr>
      <w:tr w:rsidR="00BC6738" w:rsidRPr="002C1500" w14:paraId="40F387D9" w14:textId="77777777" w:rsidTr="00F325BA">
        <w:trPr>
          <w:trHeight w:val="286"/>
          <w:jc w:val="center"/>
        </w:trPr>
        <w:tc>
          <w:tcPr>
            <w:tcW w:w="3797" w:type="pct"/>
            <w:tcBorders>
              <w:top w:val="nil"/>
              <w:left w:val="single" w:sz="8" w:space="0" w:color="auto"/>
              <w:bottom w:val="single" w:sz="8" w:space="0" w:color="auto"/>
              <w:right w:val="single" w:sz="8" w:space="0" w:color="auto"/>
            </w:tcBorders>
            <w:shd w:val="clear" w:color="auto" w:fill="auto"/>
          </w:tcPr>
          <w:p w14:paraId="52208CF2" w14:textId="72D4C94A" w:rsidR="00BC6738" w:rsidRPr="002837A0" w:rsidRDefault="003121B0" w:rsidP="003B6953">
            <w:pPr>
              <w:spacing w:before="40" w:after="40"/>
              <w:rPr>
                <w:bCs/>
                <w:sz w:val="22"/>
                <w:szCs w:val="22"/>
              </w:rPr>
            </w:pPr>
            <w:r w:rsidRPr="002837A0">
              <w:rPr>
                <w:rFonts w:eastAsia="Calibri"/>
                <w:kern w:val="24"/>
                <w:sz w:val="22"/>
                <w:szCs w:val="22"/>
              </w:rPr>
              <w:t xml:space="preserve">    </w:t>
            </w:r>
            <w:r w:rsidR="00647582" w:rsidRPr="002837A0">
              <w:rPr>
                <w:rFonts w:eastAsia="Calibri"/>
                <w:kern w:val="24"/>
                <w:sz w:val="22"/>
                <w:szCs w:val="22"/>
              </w:rPr>
              <w:t xml:space="preserve">        </w:t>
            </w:r>
            <w:r w:rsidRPr="002837A0">
              <w:rPr>
                <w:rFonts w:eastAsia="Calibri"/>
                <w:kern w:val="24"/>
                <w:sz w:val="22"/>
                <w:szCs w:val="22"/>
              </w:rPr>
              <w:t xml:space="preserve"> </w:t>
            </w:r>
            <w:r w:rsidR="003B6953" w:rsidRPr="002837A0">
              <w:rPr>
                <w:rFonts w:eastAsia="Calibri"/>
                <w:kern w:val="24"/>
                <w:sz w:val="22"/>
                <w:szCs w:val="22"/>
              </w:rPr>
              <w:t>Objectif du projet</w:t>
            </w:r>
            <w:r w:rsidR="00566A5E" w:rsidRPr="002837A0">
              <w:rPr>
                <w:rFonts w:eastAsia="Calibri"/>
                <w:kern w:val="24"/>
                <w:sz w:val="22"/>
                <w:szCs w:val="22"/>
              </w:rPr>
              <w:t xml:space="preserve"> </w:t>
            </w:r>
          </w:p>
        </w:tc>
        <w:tc>
          <w:tcPr>
            <w:tcW w:w="1203" w:type="pct"/>
            <w:tcBorders>
              <w:top w:val="nil"/>
              <w:left w:val="single" w:sz="8" w:space="0" w:color="auto"/>
              <w:bottom w:val="single" w:sz="8" w:space="0" w:color="auto"/>
              <w:right w:val="single" w:sz="8" w:space="0" w:color="auto"/>
            </w:tcBorders>
          </w:tcPr>
          <w:p w14:paraId="45CC12A1" w14:textId="0892A4A3" w:rsidR="00BC6738" w:rsidRPr="002837A0" w:rsidRDefault="00D9753B" w:rsidP="00036824">
            <w:pPr>
              <w:spacing w:before="40" w:after="40"/>
              <w:rPr>
                <w:bCs/>
                <w:sz w:val="22"/>
                <w:szCs w:val="22"/>
              </w:rPr>
            </w:pPr>
            <w:r w:rsidRPr="002837A0">
              <w:rPr>
                <w:bCs/>
                <w:sz w:val="22"/>
                <w:szCs w:val="22"/>
              </w:rPr>
              <w:t>1</w:t>
            </w:r>
            <w:r w:rsidR="00B8123C" w:rsidRPr="002837A0">
              <w:rPr>
                <w:bCs/>
                <w:sz w:val="22"/>
                <w:szCs w:val="22"/>
              </w:rPr>
              <w:t>0</w:t>
            </w:r>
            <w:r w:rsidR="00CA2152" w:rsidRPr="002837A0">
              <w:rPr>
                <w:bCs/>
                <w:sz w:val="22"/>
                <w:szCs w:val="22"/>
              </w:rPr>
              <w:t>%</w:t>
            </w:r>
          </w:p>
        </w:tc>
      </w:tr>
      <w:tr w:rsidR="00BC6738" w:rsidRPr="002C1500" w14:paraId="441C5AFA" w14:textId="77777777" w:rsidTr="00F325BA">
        <w:trPr>
          <w:trHeight w:val="437"/>
          <w:jc w:val="center"/>
        </w:trPr>
        <w:tc>
          <w:tcPr>
            <w:tcW w:w="3797" w:type="pct"/>
            <w:tcBorders>
              <w:top w:val="nil"/>
              <w:left w:val="single" w:sz="8" w:space="0" w:color="auto"/>
              <w:bottom w:val="single" w:sz="8" w:space="0" w:color="auto"/>
              <w:right w:val="single" w:sz="8" w:space="0" w:color="auto"/>
            </w:tcBorders>
            <w:shd w:val="clear" w:color="auto" w:fill="auto"/>
          </w:tcPr>
          <w:p w14:paraId="16306756" w14:textId="683B053B" w:rsidR="00BC6738" w:rsidRPr="002837A0" w:rsidRDefault="003121B0" w:rsidP="003B6953">
            <w:pPr>
              <w:spacing w:before="40" w:after="40"/>
              <w:rPr>
                <w:bCs/>
                <w:sz w:val="22"/>
                <w:szCs w:val="22"/>
              </w:rPr>
            </w:pPr>
            <w:r w:rsidRPr="002837A0">
              <w:rPr>
                <w:bCs/>
                <w:sz w:val="22"/>
                <w:szCs w:val="22"/>
              </w:rPr>
              <w:t xml:space="preserve">     </w:t>
            </w:r>
            <w:r w:rsidR="00647582" w:rsidRPr="002837A0">
              <w:rPr>
                <w:bCs/>
                <w:sz w:val="22"/>
                <w:szCs w:val="22"/>
              </w:rPr>
              <w:t xml:space="preserve">        </w:t>
            </w:r>
            <w:r w:rsidR="003B6953" w:rsidRPr="002837A0">
              <w:rPr>
                <w:bCs/>
                <w:sz w:val="22"/>
                <w:szCs w:val="22"/>
              </w:rPr>
              <w:t>Approche Technique</w:t>
            </w:r>
            <w:r w:rsidR="00D9753B" w:rsidRPr="002837A0">
              <w:rPr>
                <w:bCs/>
                <w:sz w:val="22"/>
                <w:szCs w:val="22"/>
              </w:rPr>
              <w:t xml:space="preserve"> </w:t>
            </w:r>
          </w:p>
        </w:tc>
        <w:tc>
          <w:tcPr>
            <w:tcW w:w="1203" w:type="pct"/>
            <w:tcBorders>
              <w:top w:val="nil"/>
              <w:left w:val="single" w:sz="8" w:space="0" w:color="auto"/>
              <w:bottom w:val="single" w:sz="8" w:space="0" w:color="auto"/>
              <w:right w:val="single" w:sz="8" w:space="0" w:color="auto"/>
            </w:tcBorders>
          </w:tcPr>
          <w:p w14:paraId="59F9180C" w14:textId="7CC2B8E2" w:rsidR="00BC6738" w:rsidRPr="002837A0" w:rsidRDefault="00566A5E" w:rsidP="00036824">
            <w:pPr>
              <w:spacing w:before="40" w:after="40"/>
              <w:rPr>
                <w:bCs/>
                <w:sz w:val="22"/>
                <w:szCs w:val="22"/>
              </w:rPr>
            </w:pPr>
            <w:r w:rsidRPr="002837A0">
              <w:rPr>
                <w:bCs/>
                <w:sz w:val="22"/>
                <w:szCs w:val="22"/>
              </w:rPr>
              <w:t>1</w:t>
            </w:r>
            <w:r w:rsidR="00B8123C" w:rsidRPr="002837A0">
              <w:rPr>
                <w:bCs/>
                <w:sz w:val="22"/>
                <w:szCs w:val="22"/>
              </w:rPr>
              <w:t>0</w:t>
            </w:r>
            <w:r w:rsidR="00CA2152" w:rsidRPr="002837A0">
              <w:rPr>
                <w:bCs/>
                <w:sz w:val="22"/>
                <w:szCs w:val="22"/>
              </w:rPr>
              <w:t>%</w:t>
            </w:r>
          </w:p>
        </w:tc>
      </w:tr>
      <w:tr w:rsidR="00BC6738" w:rsidRPr="002C1500" w14:paraId="4A96DCE2" w14:textId="77777777" w:rsidTr="00F325BA">
        <w:trPr>
          <w:trHeight w:val="286"/>
          <w:jc w:val="center"/>
        </w:trPr>
        <w:tc>
          <w:tcPr>
            <w:tcW w:w="3797" w:type="pct"/>
            <w:tcBorders>
              <w:top w:val="nil"/>
              <w:left w:val="single" w:sz="8" w:space="0" w:color="auto"/>
              <w:bottom w:val="single" w:sz="8" w:space="0" w:color="auto"/>
              <w:right w:val="single" w:sz="8" w:space="0" w:color="auto"/>
            </w:tcBorders>
            <w:shd w:val="clear" w:color="auto" w:fill="C6D9F1"/>
            <w:hideMark/>
          </w:tcPr>
          <w:p w14:paraId="303F8E79" w14:textId="657FDB2A" w:rsidR="00BC6738" w:rsidRPr="002837A0" w:rsidRDefault="003B6953" w:rsidP="00647582">
            <w:pPr>
              <w:pStyle w:val="ListParagraph"/>
              <w:numPr>
                <w:ilvl w:val="0"/>
                <w:numId w:val="4"/>
              </w:numPr>
              <w:suppressAutoHyphens w:val="0"/>
              <w:spacing w:before="40" w:after="40"/>
              <w:rPr>
                <w:b/>
                <w:bCs/>
                <w:sz w:val="22"/>
                <w:szCs w:val="22"/>
              </w:rPr>
            </w:pPr>
            <w:r w:rsidRPr="002837A0">
              <w:rPr>
                <w:b/>
                <w:bCs/>
                <w:sz w:val="22"/>
                <w:szCs w:val="22"/>
              </w:rPr>
              <w:t>Impacts du Projet</w:t>
            </w:r>
          </w:p>
        </w:tc>
        <w:tc>
          <w:tcPr>
            <w:tcW w:w="1203" w:type="pct"/>
            <w:tcBorders>
              <w:top w:val="nil"/>
              <w:left w:val="single" w:sz="8" w:space="0" w:color="auto"/>
              <w:bottom w:val="single" w:sz="8" w:space="0" w:color="auto"/>
              <w:right w:val="single" w:sz="8" w:space="0" w:color="auto"/>
            </w:tcBorders>
            <w:shd w:val="clear" w:color="auto" w:fill="C6D9F1"/>
          </w:tcPr>
          <w:p w14:paraId="11497840" w14:textId="553BB4BB" w:rsidR="00BC6738" w:rsidRPr="002837A0" w:rsidRDefault="00474A22" w:rsidP="00036824">
            <w:pPr>
              <w:spacing w:before="40" w:after="40"/>
              <w:rPr>
                <w:b/>
                <w:bCs/>
                <w:sz w:val="22"/>
                <w:szCs w:val="22"/>
              </w:rPr>
            </w:pPr>
            <w:r w:rsidRPr="002837A0">
              <w:rPr>
                <w:b/>
                <w:bCs/>
                <w:sz w:val="22"/>
                <w:szCs w:val="22"/>
              </w:rPr>
              <w:t>4</w:t>
            </w:r>
            <w:r w:rsidR="00BC6738" w:rsidRPr="002837A0">
              <w:rPr>
                <w:b/>
                <w:bCs/>
                <w:sz w:val="22"/>
                <w:szCs w:val="22"/>
              </w:rPr>
              <w:t>0</w:t>
            </w:r>
            <w:r w:rsidR="00CA2152" w:rsidRPr="002837A0">
              <w:rPr>
                <w:b/>
                <w:bCs/>
                <w:sz w:val="22"/>
                <w:szCs w:val="22"/>
              </w:rPr>
              <w:t>%</w:t>
            </w:r>
          </w:p>
        </w:tc>
      </w:tr>
      <w:tr w:rsidR="00BC6738" w:rsidRPr="002C1500" w14:paraId="424E896B" w14:textId="77777777" w:rsidTr="00F325BA">
        <w:trPr>
          <w:trHeight w:val="286"/>
          <w:jc w:val="center"/>
        </w:trPr>
        <w:tc>
          <w:tcPr>
            <w:tcW w:w="3797" w:type="pct"/>
            <w:tcBorders>
              <w:top w:val="nil"/>
              <w:left w:val="single" w:sz="8" w:space="0" w:color="auto"/>
              <w:bottom w:val="single" w:sz="8" w:space="0" w:color="auto"/>
              <w:right w:val="single" w:sz="8" w:space="0" w:color="auto"/>
            </w:tcBorders>
            <w:shd w:val="clear" w:color="auto" w:fill="auto"/>
          </w:tcPr>
          <w:p w14:paraId="18A49555" w14:textId="3B449142" w:rsidR="00BC6738" w:rsidRPr="002837A0" w:rsidRDefault="003121B0" w:rsidP="00647582">
            <w:pPr>
              <w:spacing w:before="40" w:after="40"/>
              <w:ind w:left="240" w:hanging="180"/>
              <w:rPr>
                <w:bCs/>
                <w:sz w:val="22"/>
                <w:szCs w:val="22"/>
              </w:rPr>
            </w:pPr>
            <w:r w:rsidRPr="002837A0">
              <w:rPr>
                <w:bCs/>
                <w:sz w:val="22"/>
                <w:szCs w:val="22"/>
              </w:rPr>
              <w:t xml:space="preserve">    </w:t>
            </w:r>
            <w:r w:rsidR="00647582" w:rsidRPr="002837A0">
              <w:rPr>
                <w:bCs/>
                <w:sz w:val="22"/>
                <w:szCs w:val="22"/>
              </w:rPr>
              <w:t xml:space="preserve">        </w:t>
            </w:r>
            <w:r w:rsidR="00F40A3F" w:rsidRPr="002837A0">
              <w:rPr>
                <w:bCs/>
                <w:sz w:val="22"/>
                <w:szCs w:val="22"/>
              </w:rPr>
              <w:t>Beneficia</w:t>
            </w:r>
            <w:r w:rsidR="00647582" w:rsidRPr="002837A0">
              <w:rPr>
                <w:bCs/>
                <w:sz w:val="22"/>
                <w:szCs w:val="22"/>
              </w:rPr>
              <w:t>ires</w:t>
            </w:r>
            <w:r w:rsidR="00B8123C" w:rsidRPr="002837A0">
              <w:rPr>
                <w:bCs/>
                <w:sz w:val="22"/>
                <w:szCs w:val="22"/>
              </w:rPr>
              <w:t xml:space="preserve">, </w:t>
            </w:r>
            <w:r w:rsidR="00647582" w:rsidRPr="002837A0">
              <w:rPr>
                <w:bCs/>
                <w:sz w:val="22"/>
                <w:szCs w:val="22"/>
              </w:rPr>
              <w:t>TM</w:t>
            </w:r>
            <w:r w:rsidR="00B8123C" w:rsidRPr="002837A0">
              <w:rPr>
                <w:bCs/>
                <w:sz w:val="22"/>
                <w:szCs w:val="22"/>
              </w:rPr>
              <w:t xml:space="preserve">, </w:t>
            </w:r>
            <w:r w:rsidR="00647582" w:rsidRPr="002837A0">
              <w:rPr>
                <w:bCs/>
                <w:sz w:val="22"/>
                <w:szCs w:val="22"/>
              </w:rPr>
              <w:t>Ventes</w:t>
            </w:r>
            <w:r w:rsidR="00B8123C" w:rsidRPr="002837A0">
              <w:rPr>
                <w:bCs/>
                <w:sz w:val="22"/>
                <w:szCs w:val="22"/>
              </w:rPr>
              <w:t>, KOR</w:t>
            </w:r>
          </w:p>
        </w:tc>
        <w:tc>
          <w:tcPr>
            <w:tcW w:w="1203" w:type="pct"/>
            <w:tcBorders>
              <w:top w:val="nil"/>
              <w:left w:val="single" w:sz="8" w:space="0" w:color="auto"/>
              <w:bottom w:val="single" w:sz="8" w:space="0" w:color="auto"/>
              <w:right w:val="single" w:sz="8" w:space="0" w:color="auto"/>
            </w:tcBorders>
          </w:tcPr>
          <w:p w14:paraId="7D019F70" w14:textId="6E9142DF" w:rsidR="00BC6738" w:rsidRPr="002837A0" w:rsidRDefault="00C90AF2" w:rsidP="00036824">
            <w:pPr>
              <w:spacing w:before="40" w:after="40"/>
              <w:rPr>
                <w:bCs/>
                <w:sz w:val="22"/>
                <w:szCs w:val="22"/>
              </w:rPr>
            </w:pPr>
            <w:r w:rsidRPr="002837A0">
              <w:rPr>
                <w:bCs/>
                <w:sz w:val="22"/>
                <w:szCs w:val="22"/>
              </w:rPr>
              <w:t>2</w:t>
            </w:r>
            <w:r w:rsidR="00B8123C" w:rsidRPr="002837A0">
              <w:rPr>
                <w:bCs/>
                <w:sz w:val="22"/>
                <w:szCs w:val="22"/>
              </w:rPr>
              <w:t>5</w:t>
            </w:r>
            <w:r w:rsidR="00CA2152" w:rsidRPr="002837A0">
              <w:rPr>
                <w:bCs/>
                <w:sz w:val="22"/>
                <w:szCs w:val="22"/>
              </w:rPr>
              <w:t>%</w:t>
            </w:r>
          </w:p>
        </w:tc>
      </w:tr>
      <w:tr w:rsidR="00BC6738" w:rsidRPr="002C1500" w14:paraId="6BA29424" w14:textId="77777777" w:rsidTr="00F325BA">
        <w:trPr>
          <w:trHeight w:val="455"/>
          <w:jc w:val="center"/>
        </w:trPr>
        <w:tc>
          <w:tcPr>
            <w:tcW w:w="3797" w:type="pct"/>
            <w:tcBorders>
              <w:top w:val="nil"/>
              <w:left w:val="single" w:sz="8" w:space="0" w:color="auto"/>
              <w:bottom w:val="single" w:sz="8" w:space="0" w:color="auto"/>
              <w:right w:val="single" w:sz="8" w:space="0" w:color="auto"/>
            </w:tcBorders>
            <w:shd w:val="clear" w:color="auto" w:fill="auto"/>
          </w:tcPr>
          <w:p w14:paraId="59FA9FEB" w14:textId="50856F3C" w:rsidR="00BC6738" w:rsidRPr="002837A0" w:rsidRDefault="00647582" w:rsidP="003D49AD">
            <w:pPr>
              <w:spacing w:before="40" w:after="40"/>
              <w:ind w:left="240" w:hanging="180"/>
              <w:rPr>
                <w:bCs/>
                <w:sz w:val="22"/>
                <w:szCs w:val="22"/>
              </w:rPr>
            </w:pPr>
            <w:r w:rsidRPr="002837A0">
              <w:rPr>
                <w:bCs/>
                <w:sz w:val="22"/>
                <w:szCs w:val="22"/>
              </w:rPr>
              <w:t xml:space="preserve">            Autres</w:t>
            </w:r>
            <w:r w:rsidR="00EB5C10" w:rsidRPr="002837A0">
              <w:rPr>
                <w:bCs/>
                <w:sz w:val="22"/>
                <w:szCs w:val="22"/>
              </w:rPr>
              <w:t xml:space="preserve"> </w:t>
            </w:r>
            <w:r w:rsidR="00C33FD1" w:rsidRPr="002837A0">
              <w:rPr>
                <w:bCs/>
                <w:sz w:val="22"/>
                <w:szCs w:val="22"/>
              </w:rPr>
              <w:t>Indicateur</w:t>
            </w:r>
            <w:r w:rsidRPr="002837A0">
              <w:rPr>
                <w:bCs/>
                <w:sz w:val="22"/>
                <w:szCs w:val="22"/>
              </w:rPr>
              <w:t>s</w:t>
            </w:r>
            <w:r w:rsidR="00C33FD1" w:rsidRPr="002837A0">
              <w:rPr>
                <w:bCs/>
                <w:sz w:val="22"/>
                <w:szCs w:val="22"/>
              </w:rPr>
              <w:t xml:space="preserve"> de performance</w:t>
            </w:r>
          </w:p>
        </w:tc>
        <w:tc>
          <w:tcPr>
            <w:tcW w:w="1203" w:type="pct"/>
            <w:tcBorders>
              <w:top w:val="nil"/>
              <w:left w:val="single" w:sz="8" w:space="0" w:color="auto"/>
              <w:bottom w:val="single" w:sz="8" w:space="0" w:color="auto"/>
              <w:right w:val="single" w:sz="8" w:space="0" w:color="auto"/>
            </w:tcBorders>
          </w:tcPr>
          <w:p w14:paraId="7ED5D03C" w14:textId="55BF5627" w:rsidR="00BC6738" w:rsidRPr="002837A0" w:rsidRDefault="00BC6738" w:rsidP="00036824">
            <w:pPr>
              <w:spacing w:before="40" w:after="40"/>
              <w:rPr>
                <w:bCs/>
                <w:sz w:val="22"/>
                <w:szCs w:val="22"/>
              </w:rPr>
            </w:pPr>
            <w:r w:rsidRPr="002837A0">
              <w:rPr>
                <w:bCs/>
                <w:sz w:val="22"/>
                <w:szCs w:val="22"/>
              </w:rPr>
              <w:t>1</w:t>
            </w:r>
            <w:r w:rsidR="00B8123C" w:rsidRPr="002837A0">
              <w:rPr>
                <w:bCs/>
                <w:sz w:val="22"/>
                <w:szCs w:val="22"/>
              </w:rPr>
              <w:t>5</w:t>
            </w:r>
            <w:r w:rsidR="00CA2152" w:rsidRPr="002837A0">
              <w:rPr>
                <w:bCs/>
                <w:sz w:val="22"/>
                <w:szCs w:val="22"/>
              </w:rPr>
              <w:t>%</w:t>
            </w:r>
          </w:p>
        </w:tc>
      </w:tr>
      <w:tr w:rsidR="00BC6738" w:rsidRPr="002C1500" w14:paraId="7604FBFC" w14:textId="77777777" w:rsidTr="00F325BA">
        <w:trPr>
          <w:trHeight w:val="286"/>
          <w:jc w:val="center"/>
        </w:trPr>
        <w:tc>
          <w:tcPr>
            <w:tcW w:w="3797" w:type="pct"/>
            <w:tcBorders>
              <w:top w:val="nil"/>
              <w:left w:val="single" w:sz="8" w:space="0" w:color="auto"/>
              <w:bottom w:val="single" w:sz="8" w:space="0" w:color="auto"/>
              <w:right w:val="single" w:sz="8" w:space="0" w:color="auto"/>
            </w:tcBorders>
            <w:shd w:val="clear" w:color="auto" w:fill="C6D9F1"/>
          </w:tcPr>
          <w:p w14:paraId="571A1D24" w14:textId="09050920" w:rsidR="00BC6738" w:rsidRPr="002837A0" w:rsidRDefault="00566A5E" w:rsidP="00647582">
            <w:pPr>
              <w:pStyle w:val="ListParagraph"/>
              <w:numPr>
                <w:ilvl w:val="0"/>
                <w:numId w:val="4"/>
              </w:numPr>
              <w:suppressAutoHyphens w:val="0"/>
              <w:spacing w:before="40" w:after="40"/>
              <w:rPr>
                <w:b/>
                <w:bCs/>
                <w:sz w:val="22"/>
                <w:szCs w:val="22"/>
              </w:rPr>
            </w:pPr>
            <w:r w:rsidRPr="002837A0">
              <w:rPr>
                <w:b/>
                <w:bCs/>
                <w:sz w:val="22"/>
                <w:szCs w:val="22"/>
              </w:rPr>
              <w:t xml:space="preserve">Budget </w:t>
            </w:r>
          </w:p>
        </w:tc>
        <w:tc>
          <w:tcPr>
            <w:tcW w:w="1203" w:type="pct"/>
            <w:tcBorders>
              <w:top w:val="nil"/>
              <w:left w:val="single" w:sz="8" w:space="0" w:color="auto"/>
              <w:bottom w:val="single" w:sz="8" w:space="0" w:color="auto"/>
              <w:right w:val="single" w:sz="8" w:space="0" w:color="auto"/>
            </w:tcBorders>
            <w:shd w:val="clear" w:color="auto" w:fill="C6D9F1"/>
          </w:tcPr>
          <w:p w14:paraId="1FDCD5DB" w14:textId="2858FACC" w:rsidR="00BC6738" w:rsidRPr="002837A0" w:rsidRDefault="00566A5E" w:rsidP="00036824">
            <w:pPr>
              <w:spacing w:before="40" w:after="40"/>
              <w:rPr>
                <w:b/>
                <w:bCs/>
                <w:sz w:val="22"/>
                <w:szCs w:val="22"/>
              </w:rPr>
            </w:pPr>
            <w:r w:rsidRPr="002837A0">
              <w:rPr>
                <w:b/>
                <w:bCs/>
                <w:sz w:val="22"/>
                <w:szCs w:val="22"/>
              </w:rPr>
              <w:t>30</w:t>
            </w:r>
            <w:r w:rsidR="00CA2152" w:rsidRPr="002837A0">
              <w:rPr>
                <w:b/>
                <w:bCs/>
                <w:sz w:val="22"/>
                <w:szCs w:val="22"/>
              </w:rPr>
              <w:t>%</w:t>
            </w:r>
          </w:p>
        </w:tc>
      </w:tr>
      <w:tr w:rsidR="00BC6738" w:rsidRPr="002C1500" w14:paraId="43C26D0F" w14:textId="77777777" w:rsidTr="00F325BA">
        <w:trPr>
          <w:trHeight w:val="286"/>
          <w:jc w:val="center"/>
        </w:trPr>
        <w:tc>
          <w:tcPr>
            <w:tcW w:w="3797" w:type="pct"/>
            <w:tcBorders>
              <w:top w:val="nil"/>
              <w:left w:val="single" w:sz="8" w:space="0" w:color="auto"/>
              <w:bottom w:val="single" w:sz="8" w:space="0" w:color="auto"/>
              <w:right w:val="single" w:sz="8" w:space="0" w:color="auto"/>
            </w:tcBorders>
            <w:shd w:val="clear" w:color="auto" w:fill="auto"/>
          </w:tcPr>
          <w:p w14:paraId="3843F30D" w14:textId="79C2D721" w:rsidR="00BC6738" w:rsidRPr="002837A0" w:rsidRDefault="00647582" w:rsidP="003D49AD">
            <w:pPr>
              <w:spacing w:before="40" w:after="40"/>
              <w:ind w:left="240" w:hanging="180"/>
              <w:rPr>
                <w:b/>
                <w:bCs/>
                <w:sz w:val="22"/>
                <w:szCs w:val="22"/>
                <w:lang w:val="fr-FR"/>
              </w:rPr>
            </w:pPr>
            <w:r w:rsidRPr="002837A0">
              <w:rPr>
                <w:bCs/>
                <w:sz w:val="22"/>
                <w:szCs w:val="22"/>
                <w:lang w:val="fr-FR"/>
              </w:rPr>
              <w:t xml:space="preserve">   </w:t>
            </w:r>
            <w:r w:rsidR="00C90AF2" w:rsidRPr="002837A0">
              <w:rPr>
                <w:bCs/>
                <w:sz w:val="22"/>
                <w:szCs w:val="22"/>
                <w:lang w:val="fr-FR"/>
              </w:rPr>
              <w:t xml:space="preserve"> </w:t>
            </w:r>
            <w:r w:rsidRPr="002837A0">
              <w:rPr>
                <w:bCs/>
                <w:sz w:val="22"/>
                <w:szCs w:val="22"/>
                <w:lang w:val="fr-FR"/>
              </w:rPr>
              <w:t xml:space="preserve">        Rentabilité (ratio de contribution du bénéficiaire)</w:t>
            </w:r>
          </w:p>
        </w:tc>
        <w:tc>
          <w:tcPr>
            <w:tcW w:w="1203" w:type="pct"/>
            <w:tcBorders>
              <w:top w:val="nil"/>
              <w:left w:val="single" w:sz="8" w:space="0" w:color="auto"/>
              <w:bottom w:val="single" w:sz="8" w:space="0" w:color="auto"/>
              <w:right w:val="single" w:sz="8" w:space="0" w:color="auto"/>
            </w:tcBorders>
            <w:shd w:val="clear" w:color="auto" w:fill="auto"/>
          </w:tcPr>
          <w:p w14:paraId="21D000FB" w14:textId="789A3BC6" w:rsidR="00BC6738" w:rsidRPr="002837A0" w:rsidRDefault="00566A5E" w:rsidP="00036824">
            <w:pPr>
              <w:spacing w:before="40" w:after="40"/>
              <w:rPr>
                <w:bCs/>
                <w:sz w:val="22"/>
                <w:szCs w:val="22"/>
              </w:rPr>
            </w:pPr>
            <w:r w:rsidRPr="002837A0">
              <w:rPr>
                <w:bCs/>
                <w:sz w:val="22"/>
                <w:szCs w:val="22"/>
              </w:rPr>
              <w:t>10</w:t>
            </w:r>
            <w:r w:rsidR="00CA2152" w:rsidRPr="002837A0">
              <w:rPr>
                <w:bCs/>
                <w:sz w:val="22"/>
                <w:szCs w:val="22"/>
              </w:rPr>
              <w:t>%</w:t>
            </w:r>
          </w:p>
        </w:tc>
      </w:tr>
      <w:tr w:rsidR="00566A5E" w:rsidRPr="002C1500" w14:paraId="414293C0" w14:textId="77777777" w:rsidTr="00831BA0">
        <w:trPr>
          <w:trHeight w:val="518"/>
          <w:jc w:val="center"/>
        </w:trPr>
        <w:tc>
          <w:tcPr>
            <w:tcW w:w="3797" w:type="pct"/>
            <w:tcBorders>
              <w:top w:val="nil"/>
              <w:left w:val="single" w:sz="8" w:space="0" w:color="auto"/>
              <w:bottom w:val="single" w:sz="8" w:space="0" w:color="auto"/>
              <w:right w:val="single" w:sz="8" w:space="0" w:color="auto"/>
            </w:tcBorders>
            <w:shd w:val="clear" w:color="auto" w:fill="auto"/>
          </w:tcPr>
          <w:p w14:paraId="14DEA40E" w14:textId="42C3F344" w:rsidR="00647582" w:rsidRPr="002837A0" w:rsidRDefault="00C90AF2" w:rsidP="00647582">
            <w:pPr>
              <w:spacing w:before="40" w:after="40"/>
              <w:ind w:left="240" w:hanging="180"/>
              <w:rPr>
                <w:bCs/>
                <w:sz w:val="22"/>
                <w:szCs w:val="22"/>
                <w:lang w:val="fr-FR"/>
              </w:rPr>
            </w:pPr>
            <w:r w:rsidRPr="002837A0">
              <w:rPr>
                <w:bCs/>
                <w:sz w:val="22"/>
                <w:szCs w:val="22"/>
                <w:lang w:val="fr-FR"/>
              </w:rPr>
              <w:t xml:space="preserve">   </w:t>
            </w:r>
            <w:r w:rsidR="00647582" w:rsidRPr="002837A0">
              <w:rPr>
                <w:bCs/>
                <w:sz w:val="22"/>
                <w:szCs w:val="22"/>
                <w:lang w:val="fr-FR"/>
              </w:rPr>
              <w:t xml:space="preserve">         Capacités de tenue de registres</w:t>
            </w:r>
            <w:r w:rsidR="00647582" w:rsidRPr="002837A0">
              <w:rPr>
                <w:lang w:val="fr-FR"/>
              </w:rPr>
              <w:t xml:space="preserve"> </w:t>
            </w:r>
            <w:r w:rsidR="00647582" w:rsidRPr="002837A0">
              <w:rPr>
                <w:bCs/>
                <w:sz w:val="22"/>
                <w:szCs w:val="22"/>
                <w:lang w:val="fr-FR"/>
              </w:rPr>
              <w:t xml:space="preserve">financièrs et de gestion </w:t>
            </w:r>
          </w:p>
        </w:tc>
        <w:tc>
          <w:tcPr>
            <w:tcW w:w="1203" w:type="pct"/>
            <w:tcBorders>
              <w:top w:val="nil"/>
              <w:left w:val="single" w:sz="8" w:space="0" w:color="auto"/>
              <w:bottom w:val="single" w:sz="8" w:space="0" w:color="auto"/>
              <w:right w:val="single" w:sz="8" w:space="0" w:color="auto"/>
            </w:tcBorders>
            <w:shd w:val="clear" w:color="auto" w:fill="auto"/>
          </w:tcPr>
          <w:p w14:paraId="3C486B21" w14:textId="4FF408B3" w:rsidR="00566A5E" w:rsidRPr="002837A0" w:rsidRDefault="00566A5E" w:rsidP="00566A5E">
            <w:pPr>
              <w:spacing w:before="40" w:after="40"/>
              <w:rPr>
                <w:bCs/>
                <w:sz w:val="22"/>
                <w:szCs w:val="22"/>
              </w:rPr>
            </w:pPr>
            <w:r w:rsidRPr="002837A0">
              <w:rPr>
                <w:bCs/>
                <w:sz w:val="22"/>
                <w:szCs w:val="22"/>
              </w:rPr>
              <w:t>20</w:t>
            </w:r>
            <w:r w:rsidR="00CA2152" w:rsidRPr="002837A0">
              <w:rPr>
                <w:bCs/>
                <w:sz w:val="22"/>
                <w:szCs w:val="22"/>
              </w:rPr>
              <w:t>%</w:t>
            </w:r>
          </w:p>
        </w:tc>
      </w:tr>
      <w:tr w:rsidR="00BC6738" w:rsidRPr="002C1500" w14:paraId="76DBB349" w14:textId="77777777" w:rsidTr="00F325BA">
        <w:trPr>
          <w:trHeight w:val="286"/>
          <w:jc w:val="center"/>
        </w:trPr>
        <w:tc>
          <w:tcPr>
            <w:tcW w:w="3797" w:type="pct"/>
            <w:tcBorders>
              <w:top w:val="nil"/>
              <w:left w:val="single" w:sz="8" w:space="0" w:color="auto"/>
              <w:bottom w:val="single" w:sz="8" w:space="0" w:color="auto"/>
              <w:right w:val="single" w:sz="8" w:space="0" w:color="auto"/>
            </w:tcBorders>
            <w:shd w:val="clear" w:color="auto" w:fill="B8CCE4"/>
          </w:tcPr>
          <w:p w14:paraId="322B0085" w14:textId="11E12AA9" w:rsidR="00BC6738" w:rsidRPr="002837A0" w:rsidRDefault="00647582" w:rsidP="00647582">
            <w:pPr>
              <w:pStyle w:val="ListParagraph"/>
              <w:numPr>
                <w:ilvl w:val="0"/>
                <w:numId w:val="4"/>
              </w:numPr>
              <w:suppressAutoHyphens w:val="0"/>
              <w:spacing w:before="40" w:after="40"/>
              <w:rPr>
                <w:b/>
                <w:bCs/>
                <w:sz w:val="22"/>
                <w:szCs w:val="22"/>
                <w:lang w:val="fr-FR"/>
              </w:rPr>
            </w:pPr>
            <w:r w:rsidRPr="002837A0">
              <w:rPr>
                <w:b/>
                <w:bCs/>
                <w:sz w:val="22"/>
                <w:szCs w:val="22"/>
                <w:lang w:val="fr-FR"/>
              </w:rPr>
              <w:t>Capacité et expérience de l'entreprise</w:t>
            </w:r>
          </w:p>
        </w:tc>
        <w:tc>
          <w:tcPr>
            <w:tcW w:w="1203" w:type="pct"/>
            <w:tcBorders>
              <w:top w:val="nil"/>
              <w:left w:val="single" w:sz="8" w:space="0" w:color="auto"/>
              <w:bottom w:val="single" w:sz="8" w:space="0" w:color="auto"/>
              <w:right w:val="single" w:sz="8" w:space="0" w:color="auto"/>
            </w:tcBorders>
            <w:shd w:val="clear" w:color="auto" w:fill="B8CCE4"/>
          </w:tcPr>
          <w:p w14:paraId="36BFCB01" w14:textId="5FFE98E9" w:rsidR="00BC6738" w:rsidRPr="002837A0" w:rsidRDefault="00B8123C" w:rsidP="00036824">
            <w:pPr>
              <w:spacing w:before="40" w:after="40"/>
              <w:rPr>
                <w:b/>
                <w:bCs/>
                <w:sz w:val="22"/>
                <w:szCs w:val="22"/>
              </w:rPr>
            </w:pPr>
            <w:r w:rsidRPr="002837A0">
              <w:rPr>
                <w:b/>
                <w:bCs/>
                <w:sz w:val="22"/>
                <w:szCs w:val="22"/>
              </w:rPr>
              <w:t>1</w:t>
            </w:r>
            <w:r w:rsidR="00BC6738" w:rsidRPr="002837A0">
              <w:rPr>
                <w:b/>
                <w:bCs/>
                <w:sz w:val="22"/>
                <w:szCs w:val="22"/>
              </w:rPr>
              <w:t>0</w:t>
            </w:r>
            <w:r w:rsidR="00CA2152" w:rsidRPr="002837A0">
              <w:rPr>
                <w:b/>
                <w:bCs/>
                <w:sz w:val="22"/>
                <w:szCs w:val="22"/>
              </w:rPr>
              <w:t>%</w:t>
            </w:r>
          </w:p>
        </w:tc>
      </w:tr>
      <w:tr w:rsidR="00BC6738" w:rsidRPr="002C1500" w14:paraId="5151A73F" w14:textId="77777777" w:rsidTr="00F325BA">
        <w:trPr>
          <w:trHeight w:val="286"/>
          <w:jc w:val="center"/>
        </w:trPr>
        <w:tc>
          <w:tcPr>
            <w:tcW w:w="3797" w:type="pct"/>
            <w:tcBorders>
              <w:top w:val="nil"/>
              <w:left w:val="single" w:sz="8" w:space="0" w:color="auto"/>
              <w:bottom w:val="single" w:sz="8" w:space="0" w:color="auto"/>
              <w:right w:val="single" w:sz="8" w:space="0" w:color="auto"/>
            </w:tcBorders>
            <w:shd w:val="clear" w:color="auto" w:fill="FFFFFF"/>
          </w:tcPr>
          <w:p w14:paraId="6579F420" w14:textId="5FA3856B" w:rsidR="00BC6738" w:rsidRPr="002837A0" w:rsidRDefault="00E01093" w:rsidP="00036824">
            <w:pPr>
              <w:spacing w:before="40" w:after="40"/>
              <w:rPr>
                <w:bCs/>
                <w:sz w:val="22"/>
                <w:szCs w:val="22"/>
              </w:rPr>
            </w:pPr>
            <w:r w:rsidRPr="002837A0">
              <w:rPr>
                <w:bCs/>
                <w:sz w:val="22"/>
                <w:szCs w:val="22"/>
              </w:rPr>
              <w:t xml:space="preserve">    </w:t>
            </w:r>
            <w:r w:rsidR="00647582" w:rsidRPr="002837A0">
              <w:rPr>
                <w:bCs/>
                <w:sz w:val="22"/>
                <w:szCs w:val="22"/>
              </w:rPr>
              <w:t xml:space="preserve">         Antécédents professionnels du personnel</w:t>
            </w:r>
          </w:p>
        </w:tc>
        <w:tc>
          <w:tcPr>
            <w:tcW w:w="1203" w:type="pct"/>
            <w:tcBorders>
              <w:top w:val="nil"/>
              <w:left w:val="single" w:sz="8" w:space="0" w:color="auto"/>
              <w:bottom w:val="single" w:sz="8" w:space="0" w:color="auto"/>
              <w:right w:val="single" w:sz="8" w:space="0" w:color="auto"/>
            </w:tcBorders>
            <w:shd w:val="clear" w:color="auto" w:fill="FFFFFF"/>
          </w:tcPr>
          <w:p w14:paraId="12974C2A" w14:textId="453D1356" w:rsidR="00BC6738" w:rsidRPr="002837A0" w:rsidRDefault="00474A22" w:rsidP="00036824">
            <w:pPr>
              <w:spacing w:before="40" w:after="40"/>
              <w:rPr>
                <w:bCs/>
                <w:sz w:val="22"/>
                <w:szCs w:val="22"/>
              </w:rPr>
            </w:pPr>
            <w:r w:rsidRPr="002837A0">
              <w:rPr>
                <w:bCs/>
                <w:sz w:val="22"/>
                <w:szCs w:val="22"/>
              </w:rPr>
              <w:t>5</w:t>
            </w:r>
            <w:r w:rsidR="00CA2152" w:rsidRPr="002837A0">
              <w:rPr>
                <w:bCs/>
                <w:sz w:val="22"/>
                <w:szCs w:val="22"/>
              </w:rPr>
              <w:t>%</w:t>
            </w:r>
          </w:p>
        </w:tc>
      </w:tr>
      <w:tr w:rsidR="00BC6738" w:rsidRPr="002C1500" w14:paraId="2D647323" w14:textId="77777777" w:rsidTr="00F325BA">
        <w:trPr>
          <w:trHeight w:val="446"/>
          <w:jc w:val="center"/>
        </w:trPr>
        <w:tc>
          <w:tcPr>
            <w:tcW w:w="3797" w:type="pct"/>
            <w:tcBorders>
              <w:top w:val="nil"/>
              <w:left w:val="single" w:sz="8" w:space="0" w:color="auto"/>
              <w:bottom w:val="single" w:sz="8" w:space="0" w:color="auto"/>
              <w:right w:val="single" w:sz="8" w:space="0" w:color="auto"/>
            </w:tcBorders>
            <w:shd w:val="clear" w:color="auto" w:fill="FFFFFF"/>
          </w:tcPr>
          <w:p w14:paraId="4489FA5F" w14:textId="26022638" w:rsidR="00BC6738" w:rsidRPr="002837A0" w:rsidRDefault="00E01093" w:rsidP="00647582">
            <w:pPr>
              <w:spacing w:before="40" w:after="40"/>
              <w:rPr>
                <w:bCs/>
                <w:sz w:val="22"/>
                <w:szCs w:val="22"/>
                <w:lang w:val="fr-FR"/>
              </w:rPr>
            </w:pPr>
            <w:r w:rsidRPr="002837A0">
              <w:rPr>
                <w:bCs/>
                <w:sz w:val="22"/>
                <w:szCs w:val="22"/>
                <w:lang w:val="fr-FR"/>
              </w:rPr>
              <w:t xml:space="preserve">  </w:t>
            </w:r>
            <w:r w:rsidR="00647582" w:rsidRPr="002837A0">
              <w:rPr>
                <w:bCs/>
                <w:sz w:val="22"/>
                <w:szCs w:val="22"/>
                <w:lang w:val="fr-FR"/>
              </w:rPr>
              <w:t xml:space="preserve">       </w:t>
            </w:r>
            <w:r w:rsidRPr="002837A0">
              <w:rPr>
                <w:bCs/>
                <w:sz w:val="22"/>
                <w:szCs w:val="22"/>
                <w:lang w:val="fr-FR"/>
              </w:rPr>
              <w:t xml:space="preserve"> </w:t>
            </w:r>
            <w:r w:rsidR="00647582" w:rsidRPr="002837A0">
              <w:rPr>
                <w:bCs/>
                <w:sz w:val="22"/>
                <w:szCs w:val="22"/>
                <w:lang w:val="fr-FR"/>
              </w:rPr>
              <w:t xml:space="preserve">    Capacité avérée à mener des activités similaires</w:t>
            </w:r>
          </w:p>
        </w:tc>
        <w:tc>
          <w:tcPr>
            <w:tcW w:w="1203" w:type="pct"/>
            <w:tcBorders>
              <w:top w:val="nil"/>
              <w:left w:val="single" w:sz="8" w:space="0" w:color="auto"/>
              <w:bottom w:val="single" w:sz="8" w:space="0" w:color="auto"/>
              <w:right w:val="single" w:sz="8" w:space="0" w:color="auto"/>
            </w:tcBorders>
            <w:shd w:val="clear" w:color="auto" w:fill="FFFFFF"/>
          </w:tcPr>
          <w:p w14:paraId="7C56EA38" w14:textId="2DBE97DE" w:rsidR="00BC6738" w:rsidRPr="002837A0" w:rsidRDefault="00566A5E" w:rsidP="00036824">
            <w:pPr>
              <w:spacing w:before="40" w:after="40"/>
              <w:rPr>
                <w:bCs/>
                <w:sz w:val="22"/>
                <w:szCs w:val="22"/>
              </w:rPr>
            </w:pPr>
            <w:r w:rsidRPr="002837A0">
              <w:rPr>
                <w:bCs/>
                <w:sz w:val="22"/>
                <w:szCs w:val="22"/>
              </w:rPr>
              <w:t>5</w:t>
            </w:r>
            <w:r w:rsidR="00CA2152" w:rsidRPr="002837A0">
              <w:rPr>
                <w:bCs/>
                <w:sz w:val="22"/>
                <w:szCs w:val="22"/>
              </w:rPr>
              <w:t>%</w:t>
            </w:r>
          </w:p>
        </w:tc>
      </w:tr>
      <w:tr w:rsidR="00BC6738" w:rsidRPr="002C1500" w14:paraId="57CA5934" w14:textId="77777777" w:rsidTr="00F325BA">
        <w:trPr>
          <w:trHeight w:val="286"/>
          <w:jc w:val="center"/>
        </w:trPr>
        <w:tc>
          <w:tcPr>
            <w:tcW w:w="3797" w:type="pct"/>
            <w:tcBorders>
              <w:top w:val="nil"/>
              <w:left w:val="single" w:sz="8" w:space="0" w:color="auto"/>
              <w:bottom w:val="single" w:sz="8" w:space="0" w:color="auto"/>
              <w:right w:val="single" w:sz="8" w:space="0" w:color="auto"/>
            </w:tcBorders>
            <w:shd w:val="clear" w:color="auto" w:fill="17365D"/>
            <w:hideMark/>
          </w:tcPr>
          <w:p w14:paraId="76CBF525" w14:textId="55F3EDCA" w:rsidR="00BC6738" w:rsidRPr="002C1500" w:rsidRDefault="00BC6738" w:rsidP="00036824">
            <w:pPr>
              <w:spacing w:before="40" w:after="40"/>
              <w:rPr>
                <w:b/>
                <w:bCs/>
                <w:sz w:val="22"/>
                <w:szCs w:val="22"/>
              </w:rPr>
            </w:pPr>
            <w:r w:rsidRPr="002C1500">
              <w:rPr>
                <w:b/>
                <w:bCs/>
                <w:sz w:val="22"/>
                <w:szCs w:val="22"/>
              </w:rPr>
              <w:t>Total</w:t>
            </w:r>
          </w:p>
        </w:tc>
        <w:tc>
          <w:tcPr>
            <w:tcW w:w="1203" w:type="pct"/>
            <w:tcBorders>
              <w:top w:val="nil"/>
              <w:left w:val="single" w:sz="8" w:space="0" w:color="auto"/>
              <w:bottom w:val="single" w:sz="8" w:space="0" w:color="auto"/>
              <w:right w:val="single" w:sz="8" w:space="0" w:color="auto"/>
            </w:tcBorders>
            <w:shd w:val="clear" w:color="auto" w:fill="17365D"/>
          </w:tcPr>
          <w:p w14:paraId="0988950A" w14:textId="03D4EB7B" w:rsidR="00BC6738" w:rsidRPr="002C1500" w:rsidRDefault="00BC6738" w:rsidP="00036824">
            <w:pPr>
              <w:spacing w:before="40" w:after="40"/>
              <w:rPr>
                <w:b/>
                <w:bCs/>
                <w:sz w:val="22"/>
                <w:szCs w:val="22"/>
              </w:rPr>
            </w:pPr>
            <w:r w:rsidRPr="002C1500">
              <w:rPr>
                <w:b/>
                <w:bCs/>
                <w:sz w:val="22"/>
                <w:szCs w:val="22"/>
              </w:rPr>
              <w:t>100</w:t>
            </w:r>
            <w:r w:rsidR="00CA2152">
              <w:rPr>
                <w:b/>
                <w:bCs/>
                <w:sz w:val="22"/>
                <w:szCs w:val="22"/>
              </w:rPr>
              <w:t>%</w:t>
            </w:r>
          </w:p>
        </w:tc>
      </w:tr>
      <w:tr w:rsidR="00BC6738" w:rsidRPr="002C1500" w14:paraId="22300DF0" w14:textId="77777777" w:rsidTr="00F325BA">
        <w:trPr>
          <w:trHeight w:val="272"/>
          <w:jc w:val="center"/>
        </w:trPr>
        <w:tc>
          <w:tcPr>
            <w:tcW w:w="3797" w:type="pct"/>
            <w:tcBorders>
              <w:top w:val="nil"/>
              <w:left w:val="nil"/>
              <w:bottom w:val="nil"/>
              <w:right w:val="nil"/>
            </w:tcBorders>
            <w:shd w:val="clear" w:color="auto" w:fill="auto"/>
            <w:noWrap/>
            <w:vAlign w:val="bottom"/>
            <w:hideMark/>
          </w:tcPr>
          <w:p w14:paraId="4BDC7CB6" w14:textId="77777777" w:rsidR="00BC6738" w:rsidRPr="002C1500" w:rsidRDefault="00BC6738" w:rsidP="00036824">
            <w:pPr>
              <w:spacing w:before="40" w:after="40"/>
              <w:rPr>
                <w:sz w:val="22"/>
                <w:szCs w:val="22"/>
              </w:rPr>
            </w:pPr>
          </w:p>
          <w:p w14:paraId="08CCFF0E" w14:textId="6AC2BD13" w:rsidR="00566A5E" w:rsidRPr="002C1500" w:rsidRDefault="00566A5E" w:rsidP="00036824">
            <w:pPr>
              <w:spacing w:before="40" w:after="40"/>
              <w:rPr>
                <w:sz w:val="22"/>
                <w:szCs w:val="22"/>
              </w:rPr>
            </w:pPr>
          </w:p>
        </w:tc>
        <w:tc>
          <w:tcPr>
            <w:tcW w:w="1203" w:type="pct"/>
            <w:tcBorders>
              <w:top w:val="nil"/>
              <w:left w:val="nil"/>
              <w:bottom w:val="nil"/>
              <w:right w:val="nil"/>
            </w:tcBorders>
          </w:tcPr>
          <w:p w14:paraId="3B61636D" w14:textId="77777777" w:rsidR="00BC6738" w:rsidRPr="002C1500" w:rsidRDefault="00BC6738" w:rsidP="00036824">
            <w:pPr>
              <w:spacing w:before="40" w:after="40"/>
              <w:rPr>
                <w:sz w:val="22"/>
                <w:szCs w:val="22"/>
              </w:rPr>
            </w:pPr>
          </w:p>
        </w:tc>
      </w:tr>
    </w:tbl>
    <w:p w14:paraId="677F0007" w14:textId="1F074880" w:rsidR="00517FDD" w:rsidRDefault="00517FDD" w:rsidP="00517FDD">
      <w:pPr>
        <w:suppressAutoHyphens w:val="0"/>
        <w:jc w:val="both"/>
        <w:rPr>
          <w:sz w:val="22"/>
          <w:szCs w:val="22"/>
        </w:rPr>
      </w:pPr>
    </w:p>
    <w:p w14:paraId="667640C1" w14:textId="77777777" w:rsidR="00517FDD" w:rsidRPr="002837A0" w:rsidRDefault="00517FDD" w:rsidP="00517FDD">
      <w:pPr>
        <w:suppressAutoHyphens w:val="0"/>
        <w:ind w:left="360"/>
        <w:jc w:val="both"/>
        <w:rPr>
          <w:sz w:val="22"/>
          <w:szCs w:val="22"/>
          <w:lang w:val="fr-FR"/>
        </w:rPr>
      </w:pPr>
      <w:r w:rsidRPr="002837A0">
        <w:rPr>
          <w:sz w:val="22"/>
          <w:szCs w:val="22"/>
          <w:lang w:val="fr-FR"/>
        </w:rPr>
        <w:t>Ces éléments des critères d'évaluation sont décrits plus en détail ci-dessous.</w:t>
      </w:r>
    </w:p>
    <w:p w14:paraId="619F298B" w14:textId="77777777" w:rsidR="00517FDD" w:rsidRPr="002837A0" w:rsidRDefault="00517FDD" w:rsidP="00517FDD">
      <w:pPr>
        <w:suppressAutoHyphens w:val="0"/>
        <w:ind w:left="360"/>
        <w:jc w:val="both"/>
        <w:rPr>
          <w:sz w:val="22"/>
          <w:szCs w:val="22"/>
          <w:lang w:val="fr-FR"/>
        </w:rPr>
      </w:pPr>
    </w:p>
    <w:p w14:paraId="320995E2" w14:textId="77777777" w:rsidR="00517FDD" w:rsidRPr="002837A0" w:rsidRDefault="00517FDD" w:rsidP="00517FDD">
      <w:pPr>
        <w:suppressAutoHyphens w:val="0"/>
        <w:ind w:left="360"/>
        <w:jc w:val="both"/>
        <w:rPr>
          <w:b/>
          <w:sz w:val="22"/>
          <w:szCs w:val="22"/>
          <w:lang w:val="fr-FR"/>
        </w:rPr>
      </w:pPr>
      <w:r w:rsidRPr="002837A0">
        <w:rPr>
          <w:b/>
          <w:sz w:val="22"/>
          <w:szCs w:val="22"/>
          <w:lang w:val="fr-FR"/>
        </w:rPr>
        <w:t>Objectifs du projet et approche technique (20%)</w:t>
      </w:r>
    </w:p>
    <w:p w14:paraId="5B89CC9A" w14:textId="77777777" w:rsidR="00517FDD" w:rsidRPr="002837A0" w:rsidRDefault="00517FDD" w:rsidP="00517FDD">
      <w:pPr>
        <w:suppressAutoHyphens w:val="0"/>
        <w:ind w:left="360"/>
        <w:jc w:val="both"/>
        <w:rPr>
          <w:b/>
          <w:sz w:val="22"/>
          <w:szCs w:val="22"/>
          <w:lang w:val="fr-FR"/>
        </w:rPr>
      </w:pPr>
    </w:p>
    <w:p w14:paraId="34C7D785" w14:textId="77777777" w:rsidR="00517FDD" w:rsidRPr="002837A0" w:rsidRDefault="00517FDD" w:rsidP="00CD0F5A">
      <w:pPr>
        <w:suppressAutoHyphens w:val="0"/>
        <w:ind w:left="720"/>
        <w:jc w:val="both"/>
        <w:rPr>
          <w:sz w:val="22"/>
          <w:szCs w:val="22"/>
          <w:lang w:val="fr-FR"/>
        </w:rPr>
      </w:pPr>
      <w:r w:rsidRPr="002837A0">
        <w:rPr>
          <w:b/>
          <w:sz w:val="22"/>
          <w:szCs w:val="22"/>
          <w:lang w:val="fr-FR"/>
        </w:rPr>
        <w:t>Objectif du projet</w:t>
      </w:r>
      <w:r w:rsidRPr="002837A0">
        <w:rPr>
          <w:sz w:val="22"/>
          <w:szCs w:val="22"/>
          <w:lang w:val="fr-FR"/>
        </w:rPr>
        <w:t>. La vision du projet proposé en détail. Indications de sa viabilité à long terme avec une exécution progressive basée sur les résultats. Ce critère examine s'il existe une structure dans la façon dont l'activité sera exécutée, ce qui est important, mais cela peut être approfondi au stade de la demande lors de l'examen de la faisabilité du projet.</w:t>
      </w:r>
    </w:p>
    <w:p w14:paraId="71A3C9AD" w14:textId="77777777" w:rsidR="00517FDD" w:rsidRPr="002837A0" w:rsidRDefault="00517FDD" w:rsidP="00CD0F5A">
      <w:pPr>
        <w:suppressAutoHyphens w:val="0"/>
        <w:ind w:left="720"/>
        <w:jc w:val="both"/>
        <w:rPr>
          <w:sz w:val="22"/>
          <w:szCs w:val="22"/>
          <w:lang w:val="fr-FR"/>
        </w:rPr>
      </w:pPr>
    </w:p>
    <w:p w14:paraId="084A6984" w14:textId="1976ADA1" w:rsidR="00517FDD" w:rsidRPr="002837A0" w:rsidRDefault="00517FDD" w:rsidP="00CD0F5A">
      <w:pPr>
        <w:suppressAutoHyphens w:val="0"/>
        <w:ind w:left="720"/>
        <w:jc w:val="both"/>
        <w:rPr>
          <w:sz w:val="22"/>
          <w:szCs w:val="22"/>
          <w:lang w:val="fr-FR"/>
        </w:rPr>
      </w:pPr>
      <w:r w:rsidRPr="002837A0">
        <w:rPr>
          <w:b/>
          <w:sz w:val="22"/>
          <w:szCs w:val="22"/>
          <w:lang w:val="fr-FR"/>
        </w:rPr>
        <w:t>Approche technique.</w:t>
      </w:r>
      <w:r w:rsidRPr="002837A0">
        <w:rPr>
          <w:sz w:val="22"/>
          <w:szCs w:val="22"/>
          <w:lang w:val="fr-FR"/>
        </w:rPr>
        <w:t xml:space="preserve"> Une description claire et détaillée du calendrier de mise en œuvre pendant trois (3) années, y compris toutes les opérations clés et le calendrier d'introduction des nouvelles technologies. La méthodologie de sélection du personnel de vulgarisation et des principaux champions villageois (qui pourraient éventuellement devenir collecteurs de la NCB), avec une extension progressive sur les 3 ans pour couvrir la capacité de production annuelle de l'usine. Une bonne description du paquet d'assistance technique que le bénéficiaire a l'intention de fournir au cours des 3 prochaines années:</w:t>
      </w:r>
    </w:p>
    <w:p w14:paraId="505EBB18" w14:textId="2B515435" w:rsidR="00E01093" w:rsidRPr="002837A0" w:rsidRDefault="00517FDD" w:rsidP="00CD0F5A">
      <w:pPr>
        <w:suppressAutoHyphens w:val="0"/>
        <w:ind w:left="720"/>
        <w:jc w:val="both"/>
        <w:rPr>
          <w:sz w:val="22"/>
          <w:szCs w:val="22"/>
          <w:lang w:val="fr-FR"/>
        </w:rPr>
      </w:pPr>
      <w:r w:rsidRPr="002837A0">
        <w:rPr>
          <w:sz w:val="22"/>
          <w:szCs w:val="22"/>
          <w:lang w:val="fr-FR"/>
        </w:rPr>
        <w:t>KOR de la NCB, et d'autres responsabilités sociales de l'entreprise, telles que les soutiens à la santé et à l'éducation, le cas échéant.</w:t>
      </w:r>
    </w:p>
    <w:p w14:paraId="44892996" w14:textId="77777777" w:rsidR="00CD0F5A" w:rsidRDefault="00CD0F5A" w:rsidP="00517FDD">
      <w:pPr>
        <w:spacing w:before="40" w:after="40"/>
        <w:jc w:val="both"/>
        <w:rPr>
          <w:b/>
          <w:bCs/>
          <w:sz w:val="22"/>
          <w:szCs w:val="22"/>
          <w:lang w:val="fr-FR"/>
        </w:rPr>
      </w:pPr>
    </w:p>
    <w:p w14:paraId="60011C2D" w14:textId="77777777" w:rsidR="00CD0F5A" w:rsidRDefault="00CD0F5A" w:rsidP="00517FDD">
      <w:pPr>
        <w:spacing w:before="40" w:after="40"/>
        <w:jc w:val="both"/>
        <w:rPr>
          <w:b/>
          <w:bCs/>
          <w:sz w:val="22"/>
          <w:szCs w:val="22"/>
          <w:lang w:val="fr-FR"/>
        </w:rPr>
      </w:pPr>
    </w:p>
    <w:p w14:paraId="75469DD1" w14:textId="77777777" w:rsidR="00CD0F5A" w:rsidRDefault="00CD0F5A" w:rsidP="00517FDD">
      <w:pPr>
        <w:spacing w:before="40" w:after="40"/>
        <w:jc w:val="both"/>
        <w:rPr>
          <w:b/>
          <w:bCs/>
          <w:sz w:val="22"/>
          <w:szCs w:val="22"/>
          <w:lang w:val="fr-FR"/>
        </w:rPr>
      </w:pPr>
    </w:p>
    <w:p w14:paraId="0ADDDC8E" w14:textId="25A2E562" w:rsidR="00517FDD" w:rsidRPr="002837A0" w:rsidRDefault="00517FDD" w:rsidP="00CD0F5A">
      <w:pPr>
        <w:spacing w:before="40" w:after="40"/>
        <w:ind w:left="360"/>
        <w:jc w:val="both"/>
        <w:rPr>
          <w:b/>
          <w:bCs/>
          <w:sz w:val="22"/>
          <w:szCs w:val="22"/>
          <w:lang w:val="fr-FR"/>
        </w:rPr>
      </w:pPr>
      <w:r w:rsidRPr="002837A0">
        <w:rPr>
          <w:b/>
          <w:bCs/>
          <w:sz w:val="22"/>
          <w:szCs w:val="22"/>
          <w:lang w:val="fr-FR"/>
        </w:rPr>
        <w:t>Impacts du projet (40%)</w:t>
      </w:r>
    </w:p>
    <w:p w14:paraId="7C62E675" w14:textId="66DBFBF9" w:rsidR="00517FDD" w:rsidRPr="002837A0" w:rsidRDefault="00517FDD" w:rsidP="00CD0F5A">
      <w:pPr>
        <w:spacing w:before="40" w:after="40"/>
        <w:ind w:left="720"/>
        <w:jc w:val="both"/>
        <w:rPr>
          <w:bCs/>
          <w:sz w:val="22"/>
          <w:szCs w:val="22"/>
          <w:lang w:val="fr-FR"/>
        </w:rPr>
      </w:pPr>
      <w:r w:rsidRPr="00CD0F5A">
        <w:rPr>
          <w:b/>
          <w:sz w:val="22"/>
          <w:szCs w:val="22"/>
          <w:lang w:val="fr-FR"/>
        </w:rPr>
        <w:t xml:space="preserve">Bénéficiaires, </w:t>
      </w:r>
      <w:r w:rsidR="00BD2878" w:rsidRPr="00CD0F5A">
        <w:rPr>
          <w:b/>
          <w:sz w:val="22"/>
          <w:szCs w:val="22"/>
          <w:lang w:val="fr-FR"/>
        </w:rPr>
        <w:t>TM</w:t>
      </w:r>
      <w:r w:rsidRPr="00CD0F5A">
        <w:rPr>
          <w:b/>
          <w:sz w:val="22"/>
          <w:szCs w:val="22"/>
          <w:lang w:val="fr-FR"/>
        </w:rPr>
        <w:t>, Ventes, KOR</w:t>
      </w:r>
      <w:r w:rsidRPr="002837A0">
        <w:rPr>
          <w:bCs/>
          <w:sz w:val="22"/>
          <w:szCs w:val="22"/>
          <w:lang w:val="fr-FR"/>
        </w:rPr>
        <w:t xml:space="preserve">. Décrivez les zones du projet (liste des villages avec </w:t>
      </w:r>
      <w:r w:rsidR="00BD2878" w:rsidRPr="002837A0">
        <w:rPr>
          <w:bCs/>
          <w:sz w:val="22"/>
          <w:szCs w:val="22"/>
          <w:lang w:val="fr-FR"/>
        </w:rPr>
        <w:t xml:space="preserve">le </w:t>
      </w:r>
      <w:r w:rsidRPr="002837A0">
        <w:rPr>
          <w:bCs/>
          <w:sz w:val="22"/>
          <w:szCs w:val="22"/>
          <w:lang w:val="fr-FR"/>
        </w:rPr>
        <w:t xml:space="preserve">nombre d'agriculteurs, nombre d'hectares, </w:t>
      </w:r>
      <w:r w:rsidR="00BD2878" w:rsidRPr="002837A0">
        <w:rPr>
          <w:bCs/>
          <w:sz w:val="22"/>
          <w:szCs w:val="22"/>
          <w:lang w:val="fr-FR"/>
        </w:rPr>
        <w:t xml:space="preserve">la </w:t>
      </w:r>
      <w:r w:rsidRPr="002837A0">
        <w:rPr>
          <w:bCs/>
          <w:sz w:val="22"/>
          <w:szCs w:val="22"/>
          <w:lang w:val="fr-FR"/>
        </w:rPr>
        <w:t>taille moyenne des terres,</w:t>
      </w:r>
      <w:r w:rsidR="00BD2878" w:rsidRPr="002837A0">
        <w:rPr>
          <w:bCs/>
          <w:sz w:val="22"/>
          <w:szCs w:val="22"/>
          <w:lang w:val="fr-FR"/>
        </w:rPr>
        <w:t xml:space="preserve"> le</w:t>
      </w:r>
      <w:r w:rsidRPr="002837A0">
        <w:rPr>
          <w:bCs/>
          <w:sz w:val="22"/>
          <w:szCs w:val="22"/>
          <w:lang w:val="fr-FR"/>
        </w:rPr>
        <w:t xml:space="preserve"> rendement moyen des producteurs de noix de cajou, </w:t>
      </w:r>
      <w:r w:rsidR="00BD2878" w:rsidRPr="002837A0">
        <w:rPr>
          <w:bCs/>
          <w:sz w:val="22"/>
          <w:szCs w:val="22"/>
          <w:lang w:val="fr-FR"/>
        </w:rPr>
        <w:t xml:space="preserve">le </w:t>
      </w:r>
      <w:r w:rsidRPr="002837A0">
        <w:rPr>
          <w:bCs/>
          <w:sz w:val="22"/>
          <w:szCs w:val="22"/>
          <w:lang w:val="fr-FR"/>
        </w:rPr>
        <w:t xml:space="preserve">volume vendu par village, </w:t>
      </w:r>
      <w:r w:rsidR="00BD2878" w:rsidRPr="002837A0">
        <w:rPr>
          <w:bCs/>
          <w:sz w:val="22"/>
          <w:szCs w:val="22"/>
          <w:lang w:val="fr-FR"/>
        </w:rPr>
        <w:t xml:space="preserve">le </w:t>
      </w:r>
      <w:r w:rsidRPr="002837A0">
        <w:rPr>
          <w:bCs/>
          <w:sz w:val="22"/>
          <w:szCs w:val="22"/>
          <w:lang w:val="fr-FR"/>
        </w:rPr>
        <w:t xml:space="preserve">volume vendu aux bénéficiaires, </w:t>
      </w:r>
      <w:r w:rsidR="00BD2878" w:rsidRPr="002837A0">
        <w:rPr>
          <w:bCs/>
          <w:sz w:val="22"/>
          <w:szCs w:val="22"/>
          <w:lang w:val="fr-FR"/>
        </w:rPr>
        <w:t xml:space="preserve">le </w:t>
      </w:r>
      <w:r w:rsidRPr="002837A0">
        <w:rPr>
          <w:bCs/>
          <w:sz w:val="22"/>
          <w:szCs w:val="22"/>
          <w:lang w:val="fr-FR"/>
        </w:rPr>
        <w:t>KOR moyen). Cartographiez les villages et le nombre de kilomètres autour des centres de collecte.</w:t>
      </w:r>
    </w:p>
    <w:p w14:paraId="79302384" w14:textId="77777777" w:rsidR="00517FDD" w:rsidRPr="002837A0" w:rsidRDefault="00517FDD" w:rsidP="00CD0F5A">
      <w:pPr>
        <w:spacing w:before="40" w:after="40"/>
        <w:ind w:left="720"/>
        <w:jc w:val="both"/>
        <w:rPr>
          <w:bCs/>
          <w:sz w:val="22"/>
          <w:szCs w:val="22"/>
          <w:lang w:val="fr-FR"/>
        </w:rPr>
      </w:pPr>
      <w:r w:rsidRPr="002837A0">
        <w:rPr>
          <w:bCs/>
          <w:sz w:val="22"/>
          <w:szCs w:val="22"/>
          <w:lang w:val="fr-FR"/>
        </w:rPr>
        <w:t xml:space="preserve">    </w:t>
      </w:r>
    </w:p>
    <w:p w14:paraId="59729824" w14:textId="36C69854" w:rsidR="00F325BA" w:rsidRPr="002837A0" w:rsidRDefault="00517FDD" w:rsidP="00CD0F5A">
      <w:pPr>
        <w:spacing w:before="40" w:after="40"/>
        <w:ind w:left="720"/>
        <w:jc w:val="both"/>
        <w:rPr>
          <w:bCs/>
          <w:sz w:val="22"/>
          <w:szCs w:val="22"/>
          <w:lang w:val="fr-FR"/>
        </w:rPr>
      </w:pPr>
      <w:r w:rsidRPr="002837A0">
        <w:rPr>
          <w:b/>
          <w:bCs/>
          <w:sz w:val="22"/>
          <w:szCs w:val="22"/>
          <w:lang w:val="fr-FR"/>
        </w:rPr>
        <w:t>Autres indicateurs de performances</w:t>
      </w:r>
      <w:r w:rsidRPr="002837A0">
        <w:rPr>
          <w:bCs/>
          <w:sz w:val="22"/>
          <w:szCs w:val="22"/>
          <w:lang w:val="fr-FR"/>
        </w:rPr>
        <w:t xml:space="preserve">. </w:t>
      </w:r>
      <w:r w:rsidR="00BD2878" w:rsidRPr="002837A0">
        <w:rPr>
          <w:bCs/>
          <w:i/>
          <w:sz w:val="22"/>
          <w:szCs w:val="22"/>
          <w:lang w:val="fr-FR"/>
        </w:rPr>
        <w:t xml:space="preserve">Comme indiqué à la section </w:t>
      </w:r>
      <w:r w:rsidRPr="002837A0">
        <w:rPr>
          <w:bCs/>
          <w:i/>
          <w:sz w:val="22"/>
          <w:szCs w:val="22"/>
          <w:lang w:val="fr-FR"/>
        </w:rPr>
        <w:t>ID. Indicateur de performances et résultats</w:t>
      </w:r>
      <w:r w:rsidRPr="002837A0">
        <w:rPr>
          <w:bCs/>
          <w:sz w:val="22"/>
          <w:szCs w:val="22"/>
          <w:lang w:val="fr-FR"/>
        </w:rPr>
        <w:t xml:space="preserve"> le demandeur fournira le tableau des indicateurs de performances pertinents de sa proposition. La proposition expliquerait et justifierait les chiffres figurant dans le tableau. (Veuillez vous référer à la pièce jointe E: </w:t>
      </w:r>
      <w:r w:rsidR="00BD2878" w:rsidRPr="002837A0">
        <w:rPr>
          <w:bCs/>
          <w:sz w:val="22"/>
          <w:szCs w:val="22"/>
          <w:lang w:val="fr-FR"/>
        </w:rPr>
        <w:t>Définition d’</w:t>
      </w:r>
      <w:r w:rsidRPr="002837A0">
        <w:rPr>
          <w:bCs/>
          <w:sz w:val="22"/>
          <w:szCs w:val="22"/>
          <w:lang w:val="fr-FR"/>
        </w:rPr>
        <w:t>Indicateur de performance</w:t>
      </w:r>
      <w:r w:rsidR="00BD2878" w:rsidRPr="002837A0">
        <w:rPr>
          <w:bCs/>
          <w:sz w:val="22"/>
          <w:szCs w:val="22"/>
          <w:lang w:val="fr-FR"/>
        </w:rPr>
        <w:t>)</w:t>
      </w:r>
      <w:r w:rsidRPr="002837A0">
        <w:rPr>
          <w:bCs/>
          <w:sz w:val="22"/>
          <w:szCs w:val="22"/>
          <w:lang w:val="fr-FR"/>
        </w:rPr>
        <w:t xml:space="preserve"> </w:t>
      </w:r>
    </w:p>
    <w:p w14:paraId="0EB49D00" w14:textId="77777777" w:rsidR="00CD0F5A" w:rsidRDefault="00CD0F5A" w:rsidP="00CD0F5A">
      <w:pPr>
        <w:suppressAutoHyphens w:val="0"/>
        <w:spacing w:after="200"/>
        <w:jc w:val="both"/>
        <w:rPr>
          <w:b/>
          <w:sz w:val="22"/>
          <w:szCs w:val="22"/>
          <w:lang w:val="fr-FR"/>
        </w:rPr>
      </w:pPr>
    </w:p>
    <w:p w14:paraId="70EF96D5" w14:textId="6D7A7A59" w:rsidR="00BD2878" w:rsidRPr="002837A0" w:rsidRDefault="00BD2878" w:rsidP="00CD0F5A">
      <w:pPr>
        <w:suppressAutoHyphens w:val="0"/>
        <w:spacing w:after="200"/>
        <w:ind w:left="360"/>
        <w:jc w:val="both"/>
        <w:rPr>
          <w:b/>
          <w:sz w:val="22"/>
          <w:szCs w:val="22"/>
          <w:lang w:val="fr-FR"/>
        </w:rPr>
      </w:pPr>
      <w:r w:rsidRPr="002837A0">
        <w:rPr>
          <w:b/>
          <w:sz w:val="22"/>
          <w:szCs w:val="22"/>
          <w:lang w:val="fr-FR"/>
        </w:rPr>
        <w:t>Budget (30%)</w:t>
      </w:r>
    </w:p>
    <w:p w14:paraId="327A5A39" w14:textId="1D7AF84A" w:rsidR="00BD2878" w:rsidRPr="002837A0" w:rsidRDefault="00BD2878" w:rsidP="00BD2878">
      <w:pPr>
        <w:suppressAutoHyphens w:val="0"/>
        <w:spacing w:after="200"/>
        <w:ind w:left="450"/>
        <w:jc w:val="both"/>
        <w:rPr>
          <w:sz w:val="22"/>
          <w:szCs w:val="22"/>
          <w:lang w:val="fr-FR"/>
        </w:rPr>
      </w:pPr>
      <w:r w:rsidRPr="00CD0F5A">
        <w:rPr>
          <w:b/>
          <w:bCs/>
          <w:sz w:val="22"/>
          <w:szCs w:val="22"/>
          <w:lang w:val="fr-FR"/>
        </w:rPr>
        <w:t>Rapport coût-efficacité.</w:t>
      </w:r>
      <w:r w:rsidRPr="002837A0">
        <w:rPr>
          <w:sz w:val="22"/>
          <w:szCs w:val="22"/>
          <w:lang w:val="fr-FR"/>
        </w:rPr>
        <w:t xml:space="preserve"> Les calculs budgétaires pour les matériaux, les stocks ou l'équipement nécessaires sont réalistes et correspondent aux exigences et tendances actuelles du marché. Les fonds de subvention demandés dans le budget sont pertinents pour les objectifs du projet, comme décrit dans la stratégie commerciale et le plan d'opération. Ce critère obtient la même note que les objectifs du projet et l'approche technique car il fait partie des critères d'éligibilité et il parle d'un indicateur clé du projet PRO-Cashew. Ce critère est important pour PRO-Cashew, par conséquent, un financement à effet de levier substantiel / plus élevé est pr</w:t>
      </w:r>
      <w:r w:rsidR="00E66AC5" w:rsidRPr="002837A0">
        <w:rPr>
          <w:sz w:val="22"/>
          <w:szCs w:val="22"/>
          <w:lang w:val="fr-FR"/>
        </w:rPr>
        <w:t>ivilégié</w:t>
      </w:r>
      <w:r w:rsidRPr="002837A0">
        <w:rPr>
          <w:sz w:val="22"/>
          <w:szCs w:val="22"/>
          <w:lang w:val="fr-FR"/>
        </w:rPr>
        <w:t>.</w:t>
      </w:r>
    </w:p>
    <w:p w14:paraId="1AE40577" w14:textId="5832B8DA" w:rsidR="00BD2878" w:rsidRPr="002837A0" w:rsidRDefault="00BD2878" w:rsidP="00BD2878">
      <w:pPr>
        <w:suppressAutoHyphens w:val="0"/>
        <w:spacing w:after="200"/>
        <w:ind w:left="450"/>
        <w:jc w:val="both"/>
        <w:rPr>
          <w:sz w:val="22"/>
          <w:szCs w:val="22"/>
          <w:lang w:val="fr-FR"/>
        </w:rPr>
      </w:pPr>
      <w:r w:rsidRPr="00B07819">
        <w:rPr>
          <w:b/>
          <w:bCs/>
          <w:sz w:val="22"/>
          <w:szCs w:val="22"/>
          <w:lang w:val="fr-FR"/>
        </w:rPr>
        <w:t>Modèle commercial et approche durable</w:t>
      </w:r>
      <w:r w:rsidRPr="002837A0">
        <w:rPr>
          <w:sz w:val="22"/>
          <w:szCs w:val="22"/>
          <w:lang w:val="fr-FR"/>
        </w:rPr>
        <w:t xml:space="preserve"> en termes d'incitations pour l'entreprise à générer continuellement des revenus et à soutenir / étendre les activités une fois</w:t>
      </w:r>
      <w:r w:rsidR="00E66AC5" w:rsidRPr="002837A0">
        <w:rPr>
          <w:sz w:val="22"/>
          <w:szCs w:val="22"/>
          <w:lang w:val="fr-FR"/>
        </w:rPr>
        <w:t xml:space="preserve"> que</w:t>
      </w:r>
      <w:r w:rsidRPr="002837A0">
        <w:rPr>
          <w:sz w:val="22"/>
          <w:szCs w:val="22"/>
          <w:lang w:val="fr-FR"/>
        </w:rPr>
        <w:t xml:space="preserve"> le financement de l'USDA </w:t>
      </w:r>
      <w:r w:rsidR="00E66AC5" w:rsidRPr="002837A0">
        <w:rPr>
          <w:sz w:val="22"/>
          <w:szCs w:val="22"/>
          <w:lang w:val="fr-FR"/>
        </w:rPr>
        <w:t>aura pris fin</w:t>
      </w:r>
      <w:r w:rsidRPr="002837A0">
        <w:rPr>
          <w:sz w:val="22"/>
          <w:szCs w:val="22"/>
          <w:lang w:val="fr-FR"/>
        </w:rPr>
        <w:t xml:space="preserve">. Ce critère évalue la capacité de l'activité proposée à multiplier les revenus et à </w:t>
      </w:r>
      <w:r w:rsidR="00E66AC5" w:rsidRPr="002837A0">
        <w:rPr>
          <w:sz w:val="22"/>
          <w:szCs w:val="22"/>
          <w:lang w:val="fr-FR"/>
        </w:rPr>
        <w:t xml:space="preserve">continuer </w:t>
      </w:r>
      <w:r w:rsidRPr="002837A0">
        <w:rPr>
          <w:sz w:val="22"/>
          <w:szCs w:val="22"/>
          <w:lang w:val="fr-FR"/>
        </w:rPr>
        <w:t>l'activité après le projet PRO-Cashew</w:t>
      </w:r>
    </w:p>
    <w:p w14:paraId="2ED1DC86" w14:textId="1C3B5038" w:rsidR="00C325E0" w:rsidRPr="002837A0" w:rsidRDefault="00BD2878" w:rsidP="00BD2878">
      <w:pPr>
        <w:suppressAutoHyphens w:val="0"/>
        <w:spacing w:after="200"/>
        <w:ind w:left="450"/>
        <w:jc w:val="both"/>
        <w:rPr>
          <w:sz w:val="22"/>
          <w:szCs w:val="22"/>
          <w:lang w:val="fr-FR"/>
        </w:rPr>
      </w:pPr>
      <w:r w:rsidRPr="002837A0">
        <w:rPr>
          <w:sz w:val="22"/>
          <w:szCs w:val="22"/>
          <w:lang w:val="fr-FR"/>
        </w:rPr>
        <w:t xml:space="preserve">Le candidat sera également évalué sur le levier financier substantiel </w:t>
      </w:r>
      <w:r w:rsidR="00E66AC5" w:rsidRPr="002837A0">
        <w:rPr>
          <w:sz w:val="22"/>
          <w:szCs w:val="22"/>
          <w:lang w:val="fr-FR"/>
        </w:rPr>
        <w:t xml:space="preserve">d’un ratio </w:t>
      </w:r>
      <w:r w:rsidRPr="002837A0">
        <w:rPr>
          <w:sz w:val="22"/>
          <w:szCs w:val="22"/>
          <w:lang w:val="fr-FR"/>
        </w:rPr>
        <w:t>d'au moins 1: 1.</w:t>
      </w:r>
    </w:p>
    <w:p w14:paraId="146813A9" w14:textId="77777777" w:rsidR="00B07819" w:rsidRDefault="00B07819" w:rsidP="00B07819">
      <w:pPr>
        <w:suppressAutoHyphens w:val="0"/>
        <w:spacing w:after="200"/>
        <w:ind w:left="360"/>
        <w:jc w:val="both"/>
        <w:rPr>
          <w:b/>
          <w:sz w:val="22"/>
          <w:szCs w:val="22"/>
          <w:lang w:val="fr-FR"/>
        </w:rPr>
      </w:pPr>
    </w:p>
    <w:p w14:paraId="49522F82" w14:textId="0817CEE0" w:rsidR="008F44A4" w:rsidRPr="002837A0" w:rsidRDefault="008F44A4" w:rsidP="00B07819">
      <w:pPr>
        <w:suppressAutoHyphens w:val="0"/>
        <w:spacing w:after="200"/>
        <w:ind w:left="360"/>
        <w:jc w:val="both"/>
        <w:rPr>
          <w:b/>
          <w:sz w:val="22"/>
          <w:szCs w:val="22"/>
          <w:lang w:val="fr-FR"/>
        </w:rPr>
      </w:pPr>
      <w:r w:rsidRPr="002837A0">
        <w:rPr>
          <w:b/>
          <w:sz w:val="22"/>
          <w:szCs w:val="22"/>
          <w:lang w:val="fr-FR"/>
        </w:rPr>
        <w:t>Capacité et expérience de l'entreprise (10%)</w:t>
      </w:r>
    </w:p>
    <w:p w14:paraId="70F56391" w14:textId="669551C6" w:rsidR="008F44A4" w:rsidRPr="002837A0" w:rsidRDefault="008F44A4" w:rsidP="00B07819">
      <w:pPr>
        <w:suppressAutoHyphens w:val="0"/>
        <w:spacing w:after="200"/>
        <w:ind w:left="720"/>
        <w:jc w:val="both"/>
        <w:rPr>
          <w:sz w:val="22"/>
          <w:szCs w:val="22"/>
          <w:lang w:val="fr-FR"/>
        </w:rPr>
      </w:pPr>
      <w:r w:rsidRPr="002837A0">
        <w:rPr>
          <w:b/>
          <w:sz w:val="22"/>
          <w:szCs w:val="22"/>
          <w:lang w:val="fr-FR"/>
        </w:rPr>
        <w:t>Antécédents professionnels du personnel</w:t>
      </w:r>
      <w:r w:rsidRPr="002837A0">
        <w:rPr>
          <w:sz w:val="22"/>
          <w:szCs w:val="22"/>
          <w:lang w:val="fr-FR"/>
        </w:rPr>
        <w:t>: inclu</w:t>
      </w:r>
      <w:r w:rsidR="009F416D" w:rsidRPr="002837A0">
        <w:rPr>
          <w:sz w:val="22"/>
          <w:szCs w:val="22"/>
          <w:lang w:val="fr-FR"/>
        </w:rPr>
        <w:t>ez</w:t>
      </w:r>
      <w:r w:rsidRPr="002837A0">
        <w:rPr>
          <w:sz w:val="22"/>
          <w:szCs w:val="22"/>
          <w:lang w:val="fr-FR"/>
        </w:rPr>
        <w:t xml:space="preserve"> des informations sur la gouvernance de l'organisation et le personnel clé, leurs qualifications et leurs antécédents professionnels liés au projet.</w:t>
      </w:r>
    </w:p>
    <w:p w14:paraId="218E6D7F" w14:textId="02585276" w:rsidR="00BC6738" w:rsidRPr="002837A0" w:rsidRDefault="008F44A4" w:rsidP="00B07819">
      <w:pPr>
        <w:suppressAutoHyphens w:val="0"/>
        <w:spacing w:after="200"/>
        <w:ind w:left="720"/>
        <w:jc w:val="both"/>
        <w:rPr>
          <w:sz w:val="22"/>
          <w:szCs w:val="22"/>
          <w:lang w:val="fr-FR"/>
        </w:rPr>
      </w:pPr>
      <w:r w:rsidRPr="002837A0">
        <w:rPr>
          <w:sz w:val="22"/>
          <w:szCs w:val="22"/>
          <w:lang w:val="fr-FR"/>
        </w:rPr>
        <w:t xml:space="preserve">Capacité </w:t>
      </w:r>
      <w:r w:rsidR="002837A0" w:rsidRPr="002837A0">
        <w:rPr>
          <w:sz w:val="22"/>
          <w:szCs w:val="22"/>
          <w:lang w:val="fr-FR"/>
        </w:rPr>
        <w:t>avérée</w:t>
      </w:r>
      <w:r w:rsidRPr="002837A0">
        <w:rPr>
          <w:sz w:val="22"/>
          <w:szCs w:val="22"/>
          <w:lang w:val="fr-FR"/>
        </w:rPr>
        <w:t xml:space="preserve"> à mener des activités similaires: la </w:t>
      </w:r>
      <w:r w:rsidR="009F416D" w:rsidRPr="002837A0">
        <w:rPr>
          <w:sz w:val="22"/>
          <w:szCs w:val="22"/>
          <w:lang w:val="fr-FR"/>
        </w:rPr>
        <w:t xml:space="preserve">pertinence de </w:t>
      </w:r>
      <w:r w:rsidRPr="002837A0">
        <w:rPr>
          <w:sz w:val="22"/>
          <w:szCs w:val="22"/>
          <w:lang w:val="fr-FR"/>
        </w:rPr>
        <w:t xml:space="preserve">de l'expérience </w:t>
      </w:r>
      <w:r w:rsidR="009F416D" w:rsidRPr="002837A0">
        <w:rPr>
          <w:sz w:val="22"/>
          <w:szCs w:val="22"/>
          <w:lang w:val="fr-FR"/>
        </w:rPr>
        <w:t>du demandeur pour</w:t>
      </w:r>
      <w:r w:rsidRPr="002837A0">
        <w:rPr>
          <w:sz w:val="22"/>
          <w:szCs w:val="22"/>
          <w:lang w:val="fr-FR"/>
        </w:rPr>
        <w:t xml:space="preserve"> la conduite d'activités similaires à celles proposées dans la demande de subv</w:t>
      </w:r>
      <w:r w:rsidR="009F416D" w:rsidRPr="002837A0">
        <w:rPr>
          <w:sz w:val="22"/>
          <w:szCs w:val="22"/>
          <w:lang w:val="fr-FR"/>
        </w:rPr>
        <w:t>ention (E</w:t>
      </w:r>
      <w:r w:rsidRPr="002837A0">
        <w:rPr>
          <w:sz w:val="22"/>
          <w:szCs w:val="22"/>
          <w:lang w:val="fr-FR"/>
        </w:rPr>
        <w:t xml:space="preserve">nregistrement en tant qu'entité commerciale officielle; durée de l'enregistrement en tant qu'entité juridique; préférence </w:t>
      </w:r>
      <w:r w:rsidR="009A2D1F" w:rsidRPr="002837A0">
        <w:rPr>
          <w:sz w:val="22"/>
          <w:szCs w:val="22"/>
          <w:lang w:val="fr-FR"/>
        </w:rPr>
        <w:t>accordée aux</w:t>
      </w:r>
      <w:r w:rsidRPr="002837A0">
        <w:rPr>
          <w:sz w:val="22"/>
          <w:szCs w:val="22"/>
          <w:lang w:val="fr-FR"/>
        </w:rPr>
        <w:t xml:space="preserve"> entreprises ayant </w:t>
      </w:r>
      <w:r w:rsidR="009A2D1F" w:rsidRPr="002837A0">
        <w:rPr>
          <w:sz w:val="22"/>
          <w:szCs w:val="22"/>
          <w:lang w:val="fr-FR"/>
        </w:rPr>
        <w:t>un long palmarès</w:t>
      </w:r>
      <w:r w:rsidRPr="002837A0">
        <w:rPr>
          <w:sz w:val="22"/>
          <w:szCs w:val="22"/>
          <w:lang w:val="fr-FR"/>
        </w:rPr>
        <w:t xml:space="preserve"> </w:t>
      </w:r>
      <w:r w:rsidR="009A2D1F" w:rsidRPr="002837A0">
        <w:rPr>
          <w:sz w:val="22"/>
          <w:szCs w:val="22"/>
          <w:lang w:val="fr-FR"/>
        </w:rPr>
        <w:t>en matière d’</w:t>
      </w:r>
      <w:r w:rsidRPr="002837A0">
        <w:rPr>
          <w:sz w:val="22"/>
          <w:szCs w:val="22"/>
          <w:lang w:val="fr-FR"/>
        </w:rPr>
        <w:t>opération</w:t>
      </w:r>
      <w:r w:rsidR="009A2D1F" w:rsidRPr="002837A0">
        <w:rPr>
          <w:sz w:val="22"/>
          <w:szCs w:val="22"/>
          <w:lang w:val="fr-FR"/>
        </w:rPr>
        <w:t>s</w:t>
      </w:r>
      <w:r w:rsidRPr="002837A0">
        <w:rPr>
          <w:sz w:val="22"/>
          <w:szCs w:val="22"/>
          <w:lang w:val="fr-FR"/>
        </w:rPr>
        <w:t xml:space="preserve"> rentable</w:t>
      </w:r>
      <w:r w:rsidR="009A2D1F" w:rsidRPr="002837A0">
        <w:rPr>
          <w:sz w:val="22"/>
          <w:szCs w:val="22"/>
          <w:lang w:val="fr-FR"/>
        </w:rPr>
        <w:t>s</w:t>
      </w:r>
      <w:r w:rsidRPr="002837A0">
        <w:rPr>
          <w:sz w:val="22"/>
          <w:szCs w:val="22"/>
          <w:lang w:val="fr-FR"/>
        </w:rPr>
        <w:t xml:space="preserve">). La base d'actifs et l'historique des opérations commerciales, y compris les antécédents </w:t>
      </w:r>
      <w:r w:rsidR="009A2D1F" w:rsidRPr="002837A0">
        <w:rPr>
          <w:sz w:val="22"/>
          <w:szCs w:val="22"/>
          <w:lang w:val="fr-FR"/>
        </w:rPr>
        <w:t>de réussite en matière</w:t>
      </w:r>
      <w:r w:rsidRPr="002837A0">
        <w:rPr>
          <w:sz w:val="22"/>
          <w:szCs w:val="22"/>
          <w:lang w:val="fr-FR"/>
        </w:rPr>
        <w:t xml:space="preserve"> de </w:t>
      </w:r>
      <w:r w:rsidR="009A2D1F" w:rsidRPr="002837A0">
        <w:rPr>
          <w:sz w:val="22"/>
          <w:szCs w:val="22"/>
          <w:lang w:val="fr-FR"/>
        </w:rPr>
        <w:t>prestation</w:t>
      </w:r>
      <w:r w:rsidRPr="002837A0">
        <w:rPr>
          <w:sz w:val="22"/>
          <w:szCs w:val="22"/>
          <w:lang w:val="fr-FR"/>
        </w:rPr>
        <w:t xml:space="preserve"> de services aux agriculteurs (fourniture d'intrants, services de machines, vulgarisation, commercialisation </w:t>
      </w:r>
      <w:r w:rsidR="00220224" w:rsidRPr="002837A0">
        <w:rPr>
          <w:sz w:val="22"/>
          <w:szCs w:val="22"/>
          <w:lang w:val="fr-FR"/>
        </w:rPr>
        <w:t>de la production</w:t>
      </w:r>
      <w:r w:rsidRPr="002837A0">
        <w:rPr>
          <w:sz w:val="22"/>
          <w:szCs w:val="22"/>
          <w:lang w:val="fr-FR"/>
        </w:rPr>
        <w:t>, etc.) seront des considérations clés. Il</w:t>
      </w:r>
      <w:r w:rsidR="00220224" w:rsidRPr="002837A0">
        <w:rPr>
          <w:sz w:val="22"/>
          <w:szCs w:val="22"/>
          <w:lang w:val="fr-FR"/>
        </w:rPr>
        <w:t>s permettent</w:t>
      </w:r>
      <w:r w:rsidRPr="002837A0">
        <w:rPr>
          <w:sz w:val="22"/>
          <w:szCs w:val="22"/>
          <w:lang w:val="fr-FR"/>
        </w:rPr>
        <w:t xml:space="preserve"> </w:t>
      </w:r>
      <w:r w:rsidR="00220224" w:rsidRPr="002837A0">
        <w:rPr>
          <w:sz w:val="22"/>
          <w:szCs w:val="22"/>
          <w:lang w:val="fr-FR"/>
        </w:rPr>
        <w:t>d’</w:t>
      </w:r>
      <w:r w:rsidRPr="002837A0">
        <w:rPr>
          <w:sz w:val="22"/>
          <w:szCs w:val="22"/>
          <w:lang w:val="fr-FR"/>
        </w:rPr>
        <w:t>examine</w:t>
      </w:r>
      <w:r w:rsidR="00220224" w:rsidRPr="002837A0">
        <w:rPr>
          <w:sz w:val="22"/>
          <w:szCs w:val="22"/>
          <w:lang w:val="fr-FR"/>
        </w:rPr>
        <w:t>r</w:t>
      </w:r>
      <w:r w:rsidRPr="002837A0">
        <w:rPr>
          <w:sz w:val="22"/>
          <w:szCs w:val="22"/>
          <w:lang w:val="fr-FR"/>
        </w:rPr>
        <w:t xml:space="preserve"> les antécédents du demandeur, qui </w:t>
      </w:r>
      <w:r w:rsidR="00B90ECD" w:rsidRPr="002837A0">
        <w:rPr>
          <w:sz w:val="22"/>
          <w:szCs w:val="22"/>
          <w:lang w:val="fr-FR"/>
        </w:rPr>
        <w:t xml:space="preserve">sont </w:t>
      </w:r>
      <w:r w:rsidRPr="002837A0">
        <w:rPr>
          <w:sz w:val="22"/>
          <w:szCs w:val="22"/>
          <w:lang w:val="fr-FR"/>
        </w:rPr>
        <w:t xml:space="preserve">un facteur essentiel </w:t>
      </w:r>
      <w:r w:rsidR="00B90ECD" w:rsidRPr="002837A0">
        <w:rPr>
          <w:sz w:val="22"/>
          <w:szCs w:val="22"/>
          <w:lang w:val="fr-FR"/>
        </w:rPr>
        <w:t>d’évaluation de</w:t>
      </w:r>
      <w:r w:rsidRPr="002837A0">
        <w:rPr>
          <w:sz w:val="22"/>
          <w:szCs w:val="22"/>
          <w:lang w:val="fr-FR"/>
        </w:rPr>
        <w:t xml:space="preserve"> la capacité du bénéficiaire à mettre en œuvre l'activité.</w:t>
      </w:r>
      <w:r w:rsidR="00BC6738" w:rsidRPr="002837A0">
        <w:rPr>
          <w:sz w:val="22"/>
          <w:szCs w:val="22"/>
          <w:lang w:val="fr-FR"/>
        </w:rPr>
        <w:t xml:space="preserve"> </w:t>
      </w:r>
    </w:p>
    <w:p w14:paraId="32565F1C" w14:textId="45030B92" w:rsidR="00B90ECD" w:rsidRPr="002837A0" w:rsidRDefault="00B90ECD" w:rsidP="00B07819">
      <w:pPr>
        <w:ind w:left="720"/>
        <w:contextualSpacing/>
        <w:jc w:val="both"/>
        <w:rPr>
          <w:sz w:val="22"/>
          <w:szCs w:val="22"/>
          <w:lang w:val="fr-FR"/>
        </w:rPr>
      </w:pPr>
      <w:r w:rsidRPr="002837A0">
        <w:rPr>
          <w:b/>
          <w:sz w:val="22"/>
          <w:szCs w:val="22"/>
          <w:lang w:val="fr-FR"/>
        </w:rPr>
        <w:t>Expérience dans la gestion de fonds de donateurs</w:t>
      </w:r>
      <w:r w:rsidRPr="002837A0">
        <w:rPr>
          <w:sz w:val="22"/>
          <w:szCs w:val="22"/>
          <w:lang w:val="fr-FR"/>
        </w:rPr>
        <w:t xml:space="preserve"> (le cas échéant): L’ampleur de la pertinence de l’expérience antérieure du demandeur à la gestion de fonds de subventions de donateurs internationaux ou locaux.</w:t>
      </w:r>
    </w:p>
    <w:p w14:paraId="4BF68E95" w14:textId="77777777" w:rsidR="00B07819" w:rsidRDefault="00B07819" w:rsidP="00B07819">
      <w:pPr>
        <w:ind w:left="720"/>
        <w:contextualSpacing/>
        <w:jc w:val="both"/>
        <w:rPr>
          <w:b/>
          <w:bCs/>
          <w:sz w:val="22"/>
          <w:szCs w:val="22"/>
          <w:lang w:val="fr-FR"/>
        </w:rPr>
      </w:pPr>
    </w:p>
    <w:p w14:paraId="368B8532" w14:textId="2DAFCA74" w:rsidR="00B90ECD" w:rsidRPr="00B07819" w:rsidRDefault="00B90ECD" w:rsidP="00B07819">
      <w:pPr>
        <w:ind w:left="720"/>
        <w:contextualSpacing/>
        <w:jc w:val="both"/>
        <w:rPr>
          <w:b/>
          <w:bCs/>
          <w:sz w:val="22"/>
          <w:szCs w:val="22"/>
          <w:lang w:val="fr-FR"/>
        </w:rPr>
      </w:pPr>
      <w:r w:rsidRPr="00B07819">
        <w:rPr>
          <w:b/>
          <w:bCs/>
          <w:sz w:val="22"/>
          <w:szCs w:val="22"/>
          <w:lang w:val="fr-FR"/>
        </w:rPr>
        <w:t>Capacité de la subvention à attirer des sources de financement externes supplémentaires (dette / fonds propres).</w:t>
      </w:r>
    </w:p>
    <w:p w14:paraId="2181A8B5" w14:textId="77777777" w:rsidR="00B90ECD" w:rsidRPr="002837A0" w:rsidRDefault="00B90ECD" w:rsidP="00B07819">
      <w:pPr>
        <w:ind w:left="720"/>
        <w:contextualSpacing/>
        <w:jc w:val="both"/>
        <w:rPr>
          <w:sz w:val="22"/>
          <w:szCs w:val="22"/>
          <w:lang w:val="fr-FR"/>
        </w:rPr>
      </w:pPr>
      <w:r w:rsidRPr="002837A0">
        <w:rPr>
          <w:sz w:val="22"/>
          <w:szCs w:val="22"/>
          <w:lang w:val="fr-FR"/>
        </w:rPr>
        <w:t>Ce critère examine la probabilité que l'activité génère un financement supplémentaire pendant la mise en œuvre au-delà de la contribution du bénéficiaire proposée au début du projet, il juge à quel point l'activité est attrayante pour les investisseurs.</w:t>
      </w:r>
    </w:p>
    <w:p w14:paraId="52970645" w14:textId="0631DD8E" w:rsidR="00B90ECD" w:rsidRPr="002837A0" w:rsidRDefault="00B90ECD" w:rsidP="00B07819">
      <w:pPr>
        <w:ind w:left="720"/>
        <w:contextualSpacing/>
        <w:jc w:val="both"/>
        <w:rPr>
          <w:sz w:val="22"/>
          <w:szCs w:val="22"/>
          <w:lang w:val="fr-FR"/>
        </w:rPr>
      </w:pPr>
      <w:r w:rsidRPr="002837A0">
        <w:rPr>
          <w:sz w:val="22"/>
          <w:szCs w:val="22"/>
          <w:lang w:val="fr-FR"/>
        </w:rPr>
        <w:lastRenderedPageBreak/>
        <w:t>De plus, PRO-Cashew garantira la solidité environnementale et la conformité dans la conception et la mise en œuvre conformément aux exigences de l'USDA.</w:t>
      </w:r>
    </w:p>
    <w:p w14:paraId="4CD7E574" w14:textId="77777777" w:rsidR="00B07819" w:rsidRDefault="00B07819" w:rsidP="001C55E2">
      <w:pPr>
        <w:contextualSpacing/>
        <w:rPr>
          <w:sz w:val="22"/>
          <w:szCs w:val="22"/>
          <w:lang w:val="fr-FR"/>
        </w:rPr>
      </w:pPr>
    </w:p>
    <w:p w14:paraId="3CBF562A" w14:textId="4CC8C26E" w:rsidR="001C55E2" w:rsidRPr="002837A0" w:rsidRDefault="00B90ECD" w:rsidP="001C55E2">
      <w:pPr>
        <w:contextualSpacing/>
        <w:rPr>
          <w:sz w:val="22"/>
          <w:szCs w:val="22"/>
          <w:lang w:val="fr-FR"/>
        </w:rPr>
      </w:pPr>
      <w:r w:rsidRPr="002837A0">
        <w:rPr>
          <w:sz w:val="22"/>
          <w:szCs w:val="22"/>
          <w:lang w:val="fr-FR"/>
        </w:rPr>
        <w:t xml:space="preserve">Une fois les candidatures soumises à </w:t>
      </w:r>
      <w:r w:rsidR="00BB0A57" w:rsidRPr="002837A0">
        <w:rPr>
          <w:sz w:val="22"/>
          <w:szCs w:val="22"/>
          <w:lang w:val="fr-FR"/>
        </w:rPr>
        <w:t>CNFA</w:t>
      </w:r>
      <w:r w:rsidRPr="002837A0">
        <w:rPr>
          <w:sz w:val="22"/>
          <w:szCs w:val="22"/>
          <w:lang w:val="fr-FR"/>
        </w:rPr>
        <w:t xml:space="preserve">, les membres du comité de sélection des subventions PRO-Cashew évalueront les candidatures conformément aux critères de sélection ci-dessus. Les candidats seront avisés dans les 30 jours civils suivant la réunion du comité de sélection des subventions si leur </w:t>
      </w:r>
      <w:r w:rsidR="00864A86" w:rsidRPr="002837A0">
        <w:rPr>
          <w:sz w:val="22"/>
          <w:szCs w:val="22"/>
          <w:lang w:val="fr-FR"/>
        </w:rPr>
        <w:t>demande</w:t>
      </w:r>
      <w:r w:rsidRPr="002837A0">
        <w:rPr>
          <w:sz w:val="22"/>
          <w:szCs w:val="22"/>
          <w:lang w:val="fr-FR"/>
        </w:rPr>
        <w:t xml:space="preserve"> a été jugée acceptable ou non.</w:t>
      </w:r>
    </w:p>
    <w:p w14:paraId="45C93EE3" w14:textId="77777777" w:rsidR="00864A86" w:rsidRPr="002837A0" w:rsidRDefault="00864A86" w:rsidP="001C55E2">
      <w:pPr>
        <w:contextualSpacing/>
        <w:rPr>
          <w:sz w:val="22"/>
          <w:szCs w:val="22"/>
          <w:lang w:val="fr-FR"/>
        </w:rPr>
      </w:pPr>
    </w:p>
    <w:p w14:paraId="0E25E9AB" w14:textId="76CEFCBB" w:rsidR="00864A86" w:rsidRPr="002837A0" w:rsidRDefault="00864A86">
      <w:pPr>
        <w:suppressAutoHyphens w:val="0"/>
        <w:spacing w:after="200" w:line="276" w:lineRule="auto"/>
        <w:rPr>
          <w:sz w:val="22"/>
          <w:szCs w:val="22"/>
          <w:lang w:val="fr-FR"/>
        </w:rPr>
      </w:pPr>
      <w:r w:rsidRPr="002837A0">
        <w:rPr>
          <w:sz w:val="22"/>
          <w:szCs w:val="22"/>
          <w:lang w:val="fr-FR"/>
        </w:rPr>
        <w:t xml:space="preserve">Si la demande est jugée acceptable, </w:t>
      </w:r>
      <w:r w:rsidR="00BB0A57" w:rsidRPr="002837A0">
        <w:rPr>
          <w:sz w:val="22"/>
          <w:szCs w:val="22"/>
          <w:lang w:val="fr-FR"/>
        </w:rPr>
        <w:t>CNFA</w:t>
      </w:r>
      <w:r w:rsidRPr="002837A0">
        <w:rPr>
          <w:sz w:val="22"/>
          <w:szCs w:val="22"/>
          <w:lang w:val="fr-FR"/>
        </w:rPr>
        <w:t xml:space="preserve"> contactera le demandeur pour engager de nouvelles discussions. La décision d'engager des discussions plus approfondies et spécifiques après la sélection initiale n'est pas un engagement de financement; c'est simplement une décision d'aller de l'avant dans l'effort collaboratif et conjoint pour développer un projet de subvention percutant. Si les discussions approfondies et spécifiques n'aboutissent pas à l'identification et au développement d'une activité de subvention digne d'être poursuivie, PRO-Cashew informera le demandeur que la poursuite du projet de subvention ne l’intéresse plus. Toutefois, si des discussions plus approfondies aboutissent à une conception et un concept prometteurs, PRO-Cashew informera le demandeur de cette décision.</w:t>
      </w:r>
    </w:p>
    <w:p w14:paraId="2A0C7BDC" w14:textId="65253E26" w:rsidR="009E3FE2" w:rsidRPr="002837A0" w:rsidRDefault="00864A86">
      <w:pPr>
        <w:suppressAutoHyphens w:val="0"/>
        <w:spacing w:after="200" w:line="276" w:lineRule="auto"/>
        <w:rPr>
          <w:sz w:val="22"/>
          <w:szCs w:val="22"/>
          <w:lang w:val="fr-FR"/>
        </w:rPr>
      </w:pPr>
      <w:r w:rsidRPr="002837A0">
        <w:rPr>
          <w:sz w:val="22"/>
          <w:szCs w:val="22"/>
          <w:lang w:val="fr-FR"/>
        </w:rPr>
        <w:t xml:space="preserve">Les candidats retenus </w:t>
      </w:r>
      <w:r w:rsidR="00FE12D1" w:rsidRPr="002837A0">
        <w:rPr>
          <w:sz w:val="22"/>
          <w:szCs w:val="22"/>
          <w:lang w:val="fr-FR"/>
        </w:rPr>
        <w:t xml:space="preserve">recevront </w:t>
      </w:r>
      <w:r w:rsidRPr="002837A0">
        <w:rPr>
          <w:sz w:val="22"/>
          <w:szCs w:val="22"/>
          <w:lang w:val="fr-FR"/>
        </w:rPr>
        <w:t xml:space="preserve">une visite sur </w:t>
      </w:r>
      <w:r w:rsidR="00FE12D1" w:rsidRPr="002837A0">
        <w:rPr>
          <w:sz w:val="22"/>
          <w:szCs w:val="22"/>
          <w:lang w:val="fr-FR"/>
        </w:rPr>
        <w:t xml:space="preserve">site </w:t>
      </w:r>
      <w:r w:rsidRPr="002837A0">
        <w:rPr>
          <w:sz w:val="22"/>
          <w:szCs w:val="22"/>
          <w:lang w:val="fr-FR"/>
        </w:rPr>
        <w:t>du personnel de PRO-Cashew pour une évaluation préalable à l'attribution du candidat afin de vérifier l'exactitude de</w:t>
      </w:r>
      <w:r w:rsidR="00FE12D1" w:rsidRPr="002837A0">
        <w:rPr>
          <w:sz w:val="22"/>
          <w:szCs w:val="22"/>
          <w:lang w:val="fr-FR"/>
        </w:rPr>
        <w:t xml:space="preserve"> sa soumission, </w:t>
      </w:r>
      <w:r w:rsidRPr="002837A0">
        <w:rPr>
          <w:sz w:val="22"/>
          <w:szCs w:val="22"/>
          <w:lang w:val="fr-FR"/>
        </w:rPr>
        <w:t xml:space="preserve">effectuer un examen </w:t>
      </w:r>
      <w:r w:rsidR="00FE12D1" w:rsidRPr="002837A0">
        <w:rPr>
          <w:sz w:val="22"/>
          <w:szCs w:val="22"/>
          <w:lang w:val="fr-FR"/>
        </w:rPr>
        <w:t>administratif et financier et effectuer une vérification environnementale préalable</w:t>
      </w:r>
      <w:r w:rsidRPr="002837A0">
        <w:rPr>
          <w:sz w:val="22"/>
          <w:szCs w:val="22"/>
          <w:lang w:val="fr-FR"/>
        </w:rPr>
        <w:t>. Si l'évaluation de la visite du site ne révèle aucun problème majeur, PRO-Cashew fournira les instructions nécessaires, les exigences techniques et les prochaines étapes de l'octroi de la subvention.</w:t>
      </w:r>
      <w:r w:rsidR="009E3FE2" w:rsidRPr="002837A0">
        <w:rPr>
          <w:sz w:val="22"/>
          <w:szCs w:val="22"/>
          <w:lang w:val="fr-FR"/>
        </w:rPr>
        <w:br w:type="page"/>
      </w:r>
    </w:p>
    <w:p w14:paraId="730AD829" w14:textId="77777777" w:rsidR="00A5361A" w:rsidRPr="002837A0" w:rsidRDefault="00A5361A" w:rsidP="00FE172B">
      <w:pPr>
        <w:pStyle w:val="Heading1"/>
        <w:rPr>
          <w:rFonts w:ascii="Times New Roman" w:hAnsi="Times New Roman" w:cs="Times New Roman"/>
          <w:sz w:val="26"/>
          <w:szCs w:val="26"/>
          <w:lang w:val="fr-FR"/>
        </w:rPr>
      </w:pPr>
    </w:p>
    <w:p w14:paraId="28D60895" w14:textId="210EAF0D" w:rsidR="00C01947" w:rsidRPr="00C73390" w:rsidRDefault="00C01947" w:rsidP="00C01947">
      <w:pPr>
        <w:pStyle w:val="NormalWeb"/>
        <w:jc w:val="both"/>
        <w:rPr>
          <w:b/>
          <w:color w:val="365F91" w:themeColor="accent1" w:themeShade="BF"/>
          <w:szCs w:val="24"/>
          <w:lang w:val="fr-FR"/>
        </w:rPr>
      </w:pPr>
      <w:r w:rsidRPr="00C01947">
        <w:rPr>
          <w:b/>
          <w:color w:val="365F91" w:themeColor="accent1" w:themeShade="BF"/>
          <w:szCs w:val="24"/>
          <w:lang w:val="fr-FR"/>
        </w:rPr>
        <w:t xml:space="preserve">IV. SECTION: </w:t>
      </w:r>
      <w:r w:rsidR="00C73390">
        <w:rPr>
          <w:b/>
          <w:color w:val="365F91" w:themeColor="accent1" w:themeShade="BF"/>
          <w:szCs w:val="24"/>
          <w:lang w:val="fr-FR"/>
        </w:rPr>
        <w:t>INFORMATIONS</w:t>
      </w:r>
      <w:r w:rsidRPr="00C01947">
        <w:rPr>
          <w:b/>
          <w:color w:val="365F91" w:themeColor="accent1" w:themeShade="BF"/>
          <w:szCs w:val="24"/>
          <w:lang w:val="fr-FR"/>
        </w:rPr>
        <w:t xml:space="preserve"> </w:t>
      </w:r>
      <w:r w:rsidR="00C73390">
        <w:rPr>
          <w:b/>
          <w:color w:val="365F91" w:themeColor="accent1" w:themeShade="BF"/>
          <w:szCs w:val="24"/>
          <w:lang w:val="fr-FR"/>
        </w:rPr>
        <w:t>SUR LA DEMANDE ET LA SOUMISSION</w:t>
      </w:r>
    </w:p>
    <w:p w14:paraId="3613F5E6" w14:textId="00156BDE" w:rsidR="00C01947" w:rsidRPr="002837A0" w:rsidRDefault="00C01947" w:rsidP="00C01947">
      <w:pPr>
        <w:pStyle w:val="NormalWeb"/>
        <w:jc w:val="both"/>
        <w:rPr>
          <w:b/>
          <w:sz w:val="22"/>
          <w:szCs w:val="22"/>
          <w:lang w:val="fr-FR"/>
        </w:rPr>
      </w:pPr>
      <w:r w:rsidRPr="002837A0">
        <w:rPr>
          <w:b/>
          <w:sz w:val="22"/>
          <w:szCs w:val="22"/>
          <w:lang w:val="fr-FR"/>
        </w:rPr>
        <w:t xml:space="preserve">IVA. </w:t>
      </w:r>
      <w:r w:rsidR="00C73390" w:rsidRPr="002837A0">
        <w:rPr>
          <w:b/>
          <w:sz w:val="22"/>
          <w:szCs w:val="22"/>
          <w:lang w:val="fr-FR"/>
        </w:rPr>
        <w:t>Question</w:t>
      </w:r>
      <w:r w:rsidR="006C0AFA" w:rsidRPr="002837A0">
        <w:rPr>
          <w:b/>
          <w:sz w:val="22"/>
          <w:szCs w:val="22"/>
          <w:lang w:val="fr-FR"/>
        </w:rPr>
        <w:t>s</w:t>
      </w:r>
      <w:r w:rsidR="00C73390" w:rsidRPr="002837A0">
        <w:rPr>
          <w:b/>
          <w:sz w:val="22"/>
          <w:szCs w:val="22"/>
          <w:lang w:val="fr-FR"/>
        </w:rPr>
        <w:t xml:space="preserve"> </w:t>
      </w:r>
      <w:r w:rsidR="006C0AFA" w:rsidRPr="002837A0">
        <w:rPr>
          <w:b/>
          <w:sz w:val="22"/>
          <w:szCs w:val="22"/>
          <w:lang w:val="fr-FR"/>
        </w:rPr>
        <w:t xml:space="preserve">et </w:t>
      </w:r>
      <w:r w:rsidRPr="002837A0">
        <w:rPr>
          <w:b/>
          <w:sz w:val="22"/>
          <w:szCs w:val="22"/>
          <w:lang w:val="fr-FR"/>
        </w:rPr>
        <w:t xml:space="preserve">Informations </w:t>
      </w:r>
      <w:r w:rsidR="00C73390" w:rsidRPr="002837A0">
        <w:rPr>
          <w:b/>
          <w:sz w:val="22"/>
          <w:szCs w:val="22"/>
          <w:lang w:val="fr-FR"/>
        </w:rPr>
        <w:t>Relatives à</w:t>
      </w:r>
      <w:r w:rsidRPr="002837A0">
        <w:rPr>
          <w:b/>
          <w:sz w:val="22"/>
          <w:szCs w:val="22"/>
          <w:lang w:val="fr-FR"/>
        </w:rPr>
        <w:t xml:space="preserve"> </w:t>
      </w:r>
      <w:r w:rsidR="00C73390" w:rsidRPr="002837A0">
        <w:rPr>
          <w:b/>
          <w:sz w:val="22"/>
          <w:szCs w:val="22"/>
          <w:lang w:val="fr-FR"/>
        </w:rPr>
        <w:t>la S</w:t>
      </w:r>
      <w:r w:rsidRPr="002837A0">
        <w:rPr>
          <w:b/>
          <w:sz w:val="22"/>
          <w:szCs w:val="22"/>
          <w:lang w:val="fr-FR"/>
        </w:rPr>
        <w:t>oumission</w:t>
      </w:r>
    </w:p>
    <w:p w14:paraId="36CD541E" w14:textId="4BD8BF68" w:rsidR="00C01947" w:rsidRPr="002837A0" w:rsidRDefault="00C01947" w:rsidP="00C01947">
      <w:pPr>
        <w:pStyle w:val="NormalWeb"/>
        <w:jc w:val="both"/>
        <w:rPr>
          <w:sz w:val="22"/>
          <w:szCs w:val="22"/>
          <w:lang w:val="fr-FR"/>
        </w:rPr>
      </w:pPr>
      <w:r w:rsidRPr="002837A0">
        <w:rPr>
          <w:sz w:val="22"/>
          <w:szCs w:val="22"/>
          <w:lang w:val="fr-FR"/>
        </w:rPr>
        <w:t xml:space="preserve">Toutes les questions écrites relatives à cet appel </w:t>
      </w:r>
      <w:r w:rsidR="008A3F4F">
        <w:rPr>
          <w:sz w:val="22"/>
          <w:szCs w:val="22"/>
          <w:lang w:val="fr-FR"/>
        </w:rPr>
        <w:t>à candidatures</w:t>
      </w:r>
      <w:r w:rsidRPr="002837A0">
        <w:rPr>
          <w:sz w:val="22"/>
          <w:szCs w:val="22"/>
          <w:lang w:val="fr-FR"/>
        </w:rPr>
        <w:t xml:space="preserve"> doivent être soumises </w:t>
      </w:r>
      <w:r w:rsidR="006C0AFA" w:rsidRPr="002837A0">
        <w:rPr>
          <w:sz w:val="22"/>
          <w:szCs w:val="22"/>
          <w:lang w:val="fr-FR"/>
        </w:rPr>
        <w:t xml:space="preserve">à </w:t>
      </w:r>
      <w:r w:rsidRPr="006C0AFA">
        <w:rPr>
          <w:color w:val="365F91" w:themeColor="accent1" w:themeShade="BF"/>
          <w:sz w:val="22"/>
          <w:szCs w:val="22"/>
          <w:u w:val="single"/>
          <w:lang w:val="fr-FR"/>
        </w:rPr>
        <w:t>grant@cnfa-procashew.org</w:t>
      </w:r>
      <w:r w:rsidRPr="006C0AFA">
        <w:rPr>
          <w:color w:val="365F91" w:themeColor="accent1" w:themeShade="BF"/>
          <w:sz w:val="22"/>
          <w:szCs w:val="22"/>
          <w:lang w:val="fr-FR"/>
        </w:rPr>
        <w:t xml:space="preserve"> </w:t>
      </w:r>
      <w:r w:rsidRPr="002837A0">
        <w:rPr>
          <w:sz w:val="22"/>
          <w:szCs w:val="22"/>
          <w:lang w:val="fr-FR"/>
        </w:rPr>
        <w:t>au plus tard le 17 juillet 2020 avant 17 h. GMT.</w:t>
      </w:r>
    </w:p>
    <w:p w14:paraId="7E20DB63" w14:textId="3228C3B6" w:rsidR="00C01947" w:rsidRPr="002837A0" w:rsidRDefault="00C01947" w:rsidP="00C01947">
      <w:pPr>
        <w:pStyle w:val="NormalWeb"/>
        <w:jc w:val="both"/>
        <w:rPr>
          <w:sz w:val="22"/>
          <w:szCs w:val="22"/>
          <w:lang w:val="fr-FR"/>
        </w:rPr>
      </w:pPr>
      <w:r w:rsidRPr="002837A0">
        <w:rPr>
          <w:sz w:val="22"/>
          <w:szCs w:val="22"/>
          <w:lang w:val="fr-FR"/>
        </w:rPr>
        <w:t xml:space="preserve">Les questions doivent être soumises par écrit </w:t>
      </w:r>
      <w:r w:rsidR="006C0AFA" w:rsidRPr="002837A0">
        <w:rPr>
          <w:sz w:val="22"/>
          <w:szCs w:val="22"/>
          <w:lang w:val="fr-FR"/>
        </w:rPr>
        <w:t xml:space="preserve">et </w:t>
      </w:r>
      <w:r w:rsidRPr="002837A0">
        <w:rPr>
          <w:sz w:val="22"/>
          <w:szCs w:val="22"/>
          <w:lang w:val="fr-FR"/>
        </w:rPr>
        <w:t xml:space="preserve">par e-mail; Les appels téléphoniques ne seront pas acceptés. Les questions et demandes d'éclaircissements - et les réponses qui </w:t>
      </w:r>
      <w:r w:rsidR="006C0AFA" w:rsidRPr="002837A0">
        <w:rPr>
          <w:sz w:val="22"/>
          <w:szCs w:val="22"/>
          <w:lang w:val="fr-FR"/>
        </w:rPr>
        <w:t xml:space="preserve">y sont apportées - qui, selon </w:t>
      </w:r>
      <w:r w:rsidR="00BB0A57" w:rsidRPr="002837A0">
        <w:rPr>
          <w:sz w:val="22"/>
          <w:szCs w:val="22"/>
          <w:lang w:val="fr-FR"/>
        </w:rPr>
        <w:t>CNFA</w:t>
      </w:r>
      <w:r w:rsidRPr="002837A0">
        <w:rPr>
          <w:sz w:val="22"/>
          <w:szCs w:val="22"/>
          <w:lang w:val="fr-FR"/>
        </w:rPr>
        <w:t xml:space="preserve">, pourraient intéresser d'autres offrants, seront </w:t>
      </w:r>
      <w:r w:rsidR="00B95840">
        <w:rPr>
          <w:sz w:val="22"/>
          <w:szCs w:val="22"/>
          <w:lang w:val="fr-FR"/>
        </w:rPr>
        <w:t>envoyées</w:t>
      </w:r>
      <w:r w:rsidR="00B95840" w:rsidRPr="002837A0">
        <w:rPr>
          <w:sz w:val="22"/>
          <w:szCs w:val="22"/>
          <w:lang w:val="fr-FR"/>
        </w:rPr>
        <w:t xml:space="preserve"> </w:t>
      </w:r>
      <w:r w:rsidRPr="002837A0">
        <w:rPr>
          <w:sz w:val="22"/>
          <w:szCs w:val="22"/>
          <w:lang w:val="fr-FR"/>
        </w:rPr>
        <w:t xml:space="preserve">à tous les destinataires des appels </w:t>
      </w:r>
      <w:r w:rsidR="00B95840">
        <w:rPr>
          <w:sz w:val="22"/>
          <w:szCs w:val="22"/>
          <w:lang w:val="fr-FR"/>
        </w:rPr>
        <w:t>à candidatures</w:t>
      </w:r>
      <w:r w:rsidRPr="002837A0">
        <w:rPr>
          <w:sz w:val="22"/>
          <w:szCs w:val="22"/>
          <w:lang w:val="fr-FR"/>
        </w:rPr>
        <w:t xml:space="preserve"> qui ont manifesté leur intérêt à soumettre des demandes. Seules les réponses écrites émises par </w:t>
      </w:r>
      <w:r w:rsidR="00BB0A57" w:rsidRPr="002837A0">
        <w:rPr>
          <w:sz w:val="22"/>
          <w:szCs w:val="22"/>
          <w:lang w:val="fr-FR"/>
        </w:rPr>
        <w:t>CNFA</w:t>
      </w:r>
      <w:r w:rsidRPr="002837A0">
        <w:rPr>
          <w:sz w:val="22"/>
          <w:szCs w:val="22"/>
          <w:lang w:val="fr-FR"/>
        </w:rPr>
        <w:t xml:space="preserve"> seront considérées comme officielles et auront un poids dans le processus d'appel </w:t>
      </w:r>
      <w:r w:rsidR="0056398F">
        <w:rPr>
          <w:sz w:val="22"/>
          <w:szCs w:val="22"/>
          <w:lang w:val="fr-FR"/>
        </w:rPr>
        <w:t>à candidatures</w:t>
      </w:r>
      <w:r w:rsidRPr="002837A0">
        <w:rPr>
          <w:sz w:val="22"/>
          <w:szCs w:val="22"/>
          <w:lang w:val="fr-FR"/>
        </w:rPr>
        <w:t xml:space="preserve"> et d'évaluation ultérieure. Toute information verbale reçue des employés de CNFA ou de toute autre entité ne doit être considérée comme réponse officielle à </w:t>
      </w:r>
      <w:r w:rsidR="006C0AFA" w:rsidRPr="002837A0">
        <w:rPr>
          <w:sz w:val="22"/>
          <w:szCs w:val="22"/>
          <w:lang w:val="fr-FR"/>
        </w:rPr>
        <w:t xml:space="preserve">aucune </w:t>
      </w:r>
      <w:r w:rsidRPr="002837A0">
        <w:rPr>
          <w:sz w:val="22"/>
          <w:szCs w:val="22"/>
          <w:lang w:val="fr-FR"/>
        </w:rPr>
        <w:t xml:space="preserve">question concernant cet appel </w:t>
      </w:r>
      <w:r w:rsidR="0056398F">
        <w:rPr>
          <w:sz w:val="22"/>
          <w:szCs w:val="22"/>
          <w:lang w:val="fr-FR"/>
        </w:rPr>
        <w:t>à candidatures</w:t>
      </w:r>
      <w:r w:rsidRPr="002837A0">
        <w:rPr>
          <w:sz w:val="22"/>
          <w:szCs w:val="22"/>
          <w:lang w:val="fr-FR"/>
        </w:rPr>
        <w:t>.</w:t>
      </w:r>
    </w:p>
    <w:p w14:paraId="61384B50" w14:textId="40F8BA45" w:rsidR="003628D9" w:rsidRPr="002837A0" w:rsidRDefault="006C0AFA" w:rsidP="00C01947">
      <w:pPr>
        <w:pStyle w:val="NormalWeb"/>
        <w:jc w:val="both"/>
        <w:rPr>
          <w:sz w:val="22"/>
          <w:szCs w:val="22"/>
          <w:lang w:val="fr-FR"/>
        </w:rPr>
      </w:pPr>
      <w:r w:rsidRPr="002837A0">
        <w:rPr>
          <w:sz w:val="22"/>
          <w:szCs w:val="22"/>
          <w:lang w:val="fr-FR"/>
        </w:rPr>
        <w:t>Suite aux réponses écrites aux Questions-R</w:t>
      </w:r>
      <w:r w:rsidR="00C01947" w:rsidRPr="002837A0">
        <w:rPr>
          <w:sz w:val="22"/>
          <w:szCs w:val="22"/>
          <w:lang w:val="fr-FR"/>
        </w:rPr>
        <w:t>éponses, PRO-Cashew organisera des sess</w:t>
      </w:r>
      <w:r w:rsidRPr="002837A0">
        <w:rPr>
          <w:sz w:val="22"/>
          <w:szCs w:val="22"/>
          <w:lang w:val="fr-FR"/>
        </w:rPr>
        <w:t>ions de suivi en ligne sur les Questions-R</w:t>
      </w:r>
      <w:r w:rsidR="00C01947" w:rsidRPr="002837A0">
        <w:rPr>
          <w:sz w:val="22"/>
          <w:szCs w:val="22"/>
          <w:lang w:val="fr-FR"/>
        </w:rPr>
        <w:t>éponses, par pays, les 21, 23 et 24 juillet.</w:t>
      </w:r>
    </w:p>
    <w:p w14:paraId="3A865BBE" w14:textId="77777777" w:rsidR="006C0AFA" w:rsidRPr="002837A0" w:rsidRDefault="006C0AFA" w:rsidP="006C0AFA">
      <w:pPr>
        <w:pStyle w:val="NormalWeb"/>
        <w:jc w:val="both"/>
        <w:rPr>
          <w:b/>
          <w:sz w:val="22"/>
          <w:szCs w:val="22"/>
          <w:lang w:val="fr-FR"/>
        </w:rPr>
      </w:pPr>
      <w:r w:rsidRPr="002837A0">
        <w:rPr>
          <w:b/>
          <w:sz w:val="22"/>
          <w:szCs w:val="22"/>
          <w:lang w:val="fr-FR"/>
        </w:rPr>
        <w:t>IVB. Exigences de soumission des candidatures</w:t>
      </w:r>
    </w:p>
    <w:p w14:paraId="4F7A563F" w14:textId="60E8EDBD" w:rsidR="006C0AFA" w:rsidRPr="006C0AFA" w:rsidRDefault="006C0AFA" w:rsidP="006C0AFA">
      <w:pPr>
        <w:pStyle w:val="NormalWeb"/>
        <w:jc w:val="both"/>
        <w:rPr>
          <w:color w:val="FF0000"/>
          <w:sz w:val="22"/>
          <w:szCs w:val="22"/>
          <w:lang w:val="fr-FR"/>
        </w:rPr>
      </w:pPr>
      <w:r w:rsidRPr="002837A0">
        <w:rPr>
          <w:sz w:val="22"/>
          <w:szCs w:val="22"/>
          <w:lang w:val="fr-FR"/>
        </w:rPr>
        <w:t xml:space="preserve">Les demandes de subvention ne seront acceptées que dans le format de demande indiqué à </w:t>
      </w:r>
      <w:r w:rsidR="005032A9" w:rsidRPr="002837A0">
        <w:rPr>
          <w:sz w:val="22"/>
          <w:szCs w:val="22"/>
          <w:lang w:val="fr-FR"/>
        </w:rPr>
        <w:t>l'annexe A, Demande de S</w:t>
      </w:r>
      <w:r w:rsidRPr="002837A0">
        <w:rPr>
          <w:sz w:val="22"/>
          <w:szCs w:val="22"/>
          <w:lang w:val="fr-FR"/>
        </w:rPr>
        <w:t xml:space="preserve">ubvention. Les candidatures et toute pièce justificative requise doivent être soumises au plus tard le 31 juillet 2020, </w:t>
      </w:r>
      <w:r w:rsidR="005032A9" w:rsidRPr="002837A0">
        <w:rPr>
          <w:sz w:val="22"/>
          <w:szCs w:val="22"/>
          <w:lang w:val="fr-FR"/>
        </w:rPr>
        <w:t xml:space="preserve">à </w:t>
      </w:r>
      <w:r w:rsidRPr="002837A0">
        <w:rPr>
          <w:sz w:val="22"/>
          <w:szCs w:val="22"/>
          <w:lang w:val="fr-FR"/>
        </w:rPr>
        <w:t xml:space="preserve">17h00 GMT. Les candidats doivent se conformer strictement aux exigences du présent appel </w:t>
      </w:r>
      <w:r w:rsidR="008B5C7D">
        <w:rPr>
          <w:sz w:val="22"/>
          <w:szCs w:val="22"/>
          <w:lang w:val="fr-FR"/>
        </w:rPr>
        <w:t>à candidatures</w:t>
      </w:r>
      <w:r w:rsidRPr="002837A0">
        <w:rPr>
          <w:sz w:val="22"/>
          <w:szCs w:val="22"/>
          <w:lang w:val="fr-FR"/>
        </w:rPr>
        <w:t xml:space="preserve">. Les candidatures électroniques doivent être soumises à </w:t>
      </w:r>
      <w:r w:rsidRPr="005032A9">
        <w:rPr>
          <w:color w:val="0070C0"/>
          <w:sz w:val="22"/>
          <w:szCs w:val="22"/>
          <w:u w:val="single"/>
          <w:lang w:val="fr-FR"/>
        </w:rPr>
        <w:t>grant@cnfa-procashew.org.</w:t>
      </w:r>
    </w:p>
    <w:p w14:paraId="16C3CF3C" w14:textId="2DEDED72" w:rsidR="00FE172B" w:rsidRPr="002837A0" w:rsidRDefault="006C0AFA" w:rsidP="006C0AFA">
      <w:pPr>
        <w:pStyle w:val="NormalWeb"/>
        <w:spacing w:before="0" w:beforeAutospacing="0" w:after="0" w:afterAutospacing="0"/>
        <w:jc w:val="both"/>
        <w:rPr>
          <w:sz w:val="22"/>
          <w:szCs w:val="22"/>
          <w:lang w:val="fr-FR"/>
        </w:rPr>
      </w:pPr>
      <w:r w:rsidRPr="002837A0">
        <w:rPr>
          <w:sz w:val="22"/>
          <w:szCs w:val="22"/>
          <w:lang w:val="fr-FR"/>
        </w:rPr>
        <w:t xml:space="preserve">Veuillez </w:t>
      </w:r>
      <w:r w:rsidR="005032A9" w:rsidRPr="002837A0">
        <w:rPr>
          <w:sz w:val="22"/>
          <w:szCs w:val="22"/>
          <w:lang w:val="fr-FR"/>
        </w:rPr>
        <w:t>faire référence au numéro de l'A</w:t>
      </w:r>
      <w:r w:rsidRPr="002837A0">
        <w:rPr>
          <w:sz w:val="22"/>
          <w:szCs w:val="22"/>
          <w:lang w:val="fr-FR"/>
        </w:rPr>
        <w:t xml:space="preserve">ppel </w:t>
      </w:r>
      <w:r w:rsidR="00BA7C71">
        <w:rPr>
          <w:sz w:val="22"/>
          <w:szCs w:val="22"/>
          <w:lang w:val="fr-FR"/>
        </w:rPr>
        <w:t>à Candidatures</w:t>
      </w:r>
      <w:r w:rsidR="005032A9" w:rsidRPr="002837A0">
        <w:rPr>
          <w:sz w:val="22"/>
          <w:szCs w:val="22"/>
          <w:lang w:val="fr-FR"/>
        </w:rPr>
        <w:t xml:space="preserve"> dans toute réponse à cet A</w:t>
      </w:r>
      <w:r w:rsidRPr="002837A0">
        <w:rPr>
          <w:sz w:val="22"/>
          <w:szCs w:val="22"/>
          <w:lang w:val="fr-FR"/>
        </w:rPr>
        <w:t xml:space="preserve">ppel </w:t>
      </w:r>
      <w:r w:rsidR="00BA7C71">
        <w:rPr>
          <w:sz w:val="22"/>
          <w:szCs w:val="22"/>
          <w:lang w:val="fr-FR"/>
        </w:rPr>
        <w:t>à Candidatures</w:t>
      </w:r>
      <w:r w:rsidRPr="002837A0">
        <w:rPr>
          <w:sz w:val="22"/>
          <w:szCs w:val="22"/>
          <w:lang w:val="fr-FR"/>
        </w:rPr>
        <w:t xml:space="preserve">. Les candidatures reçues après l'heure et la date spécifiées seront considérées comme tardives et ne seront examinées qu'à la discrétion de CNFA. Les candidats doivent </w:t>
      </w:r>
      <w:r w:rsidR="005032A9" w:rsidRPr="002837A0">
        <w:rPr>
          <w:sz w:val="22"/>
          <w:szCs w:val="22"/>
          <w:lang w:val="fr-FR"/>
        </w:rPr>
        <w:t xml:space="preserve">strictement </w:t>
      </w:r>
      <w:r w:rsidRPr="002837A0">
        <w:rPr>
          <w:sz w:val="22"/>
          <w:szCs w:val="22"/>
          <w:lang w:val="fr-FR"/>
        </w:rPr>
        <w:t xml:space="preserve">respecter les délais indiqués pour être pris en </w:t>
      </w:r>
      <w:r w:rsidR="00DD732C" w:rsidRPr="002837A0">
        <w:rPr>
          <w:sz w:val="22"/>
          <w:szCs w:val="22"/>
          <w:lang w:val="fr-FR"/>
        </w:rPr>
        <w:t>considération</w:t>
      </w:r>
      <w:r w:rsidRPr="002837A0">
        <w:rPr>
          <w:sz w:val="22"/>
          <w:szCs w:val="22"/>
          <w:lang w:val="fr-FR"/>
        </w:rPr>
        <w:t xml:space="preserve"> </w:t>
      </w:r>
      <w:r w:rsidR="00DD732C" w:rsidRPr="002837A0">
        <w:rPr>
          <w:sz w:val="22"/>
          <w:szCs w:val="22"/>
          <w:lang w:val="fr-FR"/>
        </w:rPr>
        <w:t>lors de</w:t>
      </w:r>
      <w:r w:rsidRPr="002837A0">
        <w:rPr>
          <w:sz w:val="22"/>
          <w:szCs w:val="22"/>
          <w:lang w:val="fr-FR"/>
        </w:rPr>
        <w:t xml:space="preserve"> l'attribution</w:t>
      </w:r>
    </w:p>
    <w:p w14:paraId="0B255F3A" w14:textId="33C2DE8E" w:rsidR="00FE172B" w:rsidRPr="006C0AFA" w:rsidRDefault="00FE172B" w:rsidP="00CA5186">
      <w:pPr>
        <w:pStyle w:val="NormalWeb"/>
        <w:spacing w:before="0" w:beforeAutospacing="0" w:after="0" w:afterAutospacing="0"/>
        <w:jc w:val="both"/>
        <w:rPr>
          <w:sz w:val="22"/>
          <w:szCs w:val="22"/>
          <w:lang w:val="fr-FR"/>
        </w:rPr>
      </w:pPr>
    </w:p>
    <w:p w14:paraId="0C0C4DBE" w14:textId="77777777" w:rsidR="00DD732C" w:rsidRPr="00DD732C" w:rsidRDefault="00DD732C" w:rsidP="00DD732C">
      <w:pPr>
        <w:suppressAutoHyphens w:val="0"/>
        <w:spacing w:before="100" w:beforeAutospacing="1" w:after="100" w:afterAutospacing="1"/>
        <w:rPr>
          <w:b/>
          <w:color w:val="365F91" w:themeColor="accent1" w:themeShade="BF"/>
          <w:sz w:val="22"/>
          <w:szCs w:val="22"/>
          <w:lang w:val="fr-FR"/>
        </w:rPr>
      </w:pPr>
      <w:r w:rsidRPr="00DD732C">
        <w:rPr>
          <w:b/>
          <w:color w:val="365F91" w:themeColor="accent1" w:themeShade="BF"/>
          <w:sz w:val="22"/>
          <w:szCs w:val="22"/>
          <w:lang w:val="fr-FR"/>
        </w:rPr>
        <w:t>MODALITÉS ET CONDITIONS</w:t>
      </w:r>
    </w:p>
    <w:p w14:paraId="00BFB6BB" w14:textId="5B86453D" w:rsidR="000940B9" w:rsidRPr="002837A0" w:rsidRDefault="00DD732C" w:rsidP="008E7C7D">
      <w:pPr>
        <w:suppressAutoHyphens w:val="0"/>
        <w:spacing w:before="100" w:beforeAutospacing="1" w:after="100" w:afterAutospacing="1"/>
        <w:rPr>
          <w:sz w:val="22"/>
          <w:szCs w:val="22"/>
          <w:lang w:val="fr-FR"/>
        </w:rPr>
      </w:pPr>
      <w:r w:rsidRPr="002837A0">
        <w:rPr>
          <w:sz w:val="22"/>
          <w:szCs w:val="22"/>
          <w:lang w:val="fr-FR"/>
        </w:rPr>
        <w:t>Les candidats comprennent, en sou</w:t>
      </w:r>
      <w:r w:rsidR="00433611">
        <w:rPr>
          <w:sz w:val="22"/>
          <w:szCs w:val="22"/>
          <w:lang w:val="fr-FR"/>
        </w:rPr>
        <w:t xml:space="preserve">mettant une réponse au présent Appel </w:t>
      </w:r>
      <w:r w:rsidR="00BA7C71">
        <w:rPr>
          <w:sz w:val="22"/>
          <w:szCs w:val="22"/>
          <w:lang w:val="fr-FR"/>
        </w:rPr>
        <w:t>à Candidatures</w:t>
      </w:r>
      <w:r w:rsidRPr="002837A0">
        <w:rPr>
          <w:sz w:val="22"/>
          <w:szCs w:val="22"/>
          <w:lang w:val="fr-FR"/>
        </w:rPr>
        <w:t xml:space="preserve">, que la soumission de la candidature ne constitue pas une attribution ou un engagement de la part de PRO-Cashew, </w:t>
      </w:r>
      <w:r w:rsidR="008E7C7D" w:rsidRPr="002837A0">
        <w:rPr>
          <w:sz w:val="22"/>
          <w:szCs w:val="22"/>
          <w:lang w:val="fr-FR"/>
        </w:rPr>
        <w:t>et</w:t>
      </w:r>
      <w:r w:rsidRPr="002837A0">
        <w:rPr>
          <w:sz w:val="22"/>
          <w:szCs w:val="22"/>
          <w:lang w:val="fr-FR"/>
        </w:rPr>
        <w:t xml:space="preserve"> n'engage</w:t>
      </w:r>
      <w:r w:rsidR="008E7C7D" w:rsidRPr="002837A0">
        <w:rPr>
          <w:sz w:val="22"/>
          <w:szCs w:val="22"/>
          <w:lang w:val="fr-FR"/>
        </w:rPr>
        <w:t xml:space="preserve"> pas non plus</w:t>
      </w:r>
      <w:r w:rsidRPr="002837A0">
        <w:rPr>
          <w:sz w:val="22"/>
          <w:szCs w:val="22"/>
          <w:lang w:val="fr-FR"/>
        </w:rPr>
        <w:t xml:space="preserve"> PRO-Cashew à payer les frais engagés pour la préparation et la soumission d'une candidature. De plus, PRO-Cashew se réserve le droit d'accepter ou de rejeter une ou toutes les demandes reçues, ainsi que d'émettre des modifications révisant les termes du présent appel </w:t>
      </w:r>
      <w:r w:rsidR="00BA7C71">
        <w:rPr>
          <w:sz w:val="22"/>
          <w:szCs w:val="22"/>
          <w:lang w:val="fr-FR"/>
        </w:rPr>
        <w:t>à candidatures</w:t>
      </w:r>
      <w:r w:rsidRPr="002837A0">
        <w:rPr>
          <w:sz w:val="22"/>
          <w:szCs w:val="22"/>
          <w:lang w:val="fr-FR"/>
        </w:rPr>
        <w:t xml:space="preserve"> avant ou après réception des demandes. En soumettant une demande, les candidats comprennent que l'USDA n'est pas partie à cette demande de soumissions et le demandeur convient que toute communication concernant cette demande de soumissions sera effectuée </w:t>
      </w:r>
      <w:r w:rsidR="00AC37E4">
        <w:rPr>
          <w:sz w:val="22"/>
          <w:szCs w:val="22"/>
          <w:lang w:val="fr-FR"/>
        </w:rPr>
        <w:t>par</w:t>
      </w:r>
      <w:r w:rsidRPr="002837A0">
        <w:rPr>
          <w:sz w:val="22"/>
          <w:szCs w:val="22"/>
          <w:lang w:val="fr-FR"/>
        </w:rPr>
        <w:t xml:space="preserve"> PRO-Cashew, et non l'USDA. Les candidats seront informés par écrit de la décision prise concernant leur candidature.</w:t>
      </w:r>
    </w:p>
    <w:p w14:paraId="4FCC18EB" w14:textId="714F81D9" w:rsidR="008E7C7D" w:rsidRPr="003A7D01" w:rsidRDefault="008E7C7D" w:rsidP="008E7C7D">
      <w:pPr>
        <w:suppressAutoHyphens w:val="0"/>
        <w:spacing w:after="200" w:line="276" w:lineRule="auto"/>
        <w:rPr>
          <w:b/>
          <w:iCs/>
          <w:color w:val="244061" w:themeColor="accent1" w:themeShade="80"/>
          <w:szCs w:val="24"/>
          <w:lang w:val="fr-FR" w:eastAsia="zh-CN"/>
        </w:rPr>
      </w:pPr>
      <w:r w:rsidRPr="008E7C7D">
        <w:rPr>
          <w:b/>
          <w:iCs/>
          <w:color w:val="244061" w:themeColor="accent1" w:themeShade="80"/>
          <w:szCs w:val="24"/>
          <w:lang w:val="fr-FR" w:eastAsia="zh-CN"/>
        </w:rPr>
        <w:t xml:space="preserve">VI. </w:t>
      </w:r>
      <w:r>
        <w:rPr>
          <w:b/>
          <w:iCs/>
          <w:color w:val="244061" w:themeColor="accent1" w:themeShade="80"/>
          <w:szCs w:val="24"/>
          <w:lang w:val="fr-FR" w:eastAsia="zh-CN"/>
        </w:rPr>
        <w:t>PIECES JOINTES</w:t>
      </w:r>
    </w:p>
    <w:p w14:paraId="63E4D1C0" w14:textId="71A56E48" w:rsidR="008E7C7D" w:rsidRPr="002837A0" w:rsidRDefault="008E7C7D" w:rsidP="00894199">
      <w:pPr>
        <w:suppressAutoHyphens w:val="0"/>
        <w:spacing w:line="276" w:lineRule="auto"/>
        <w:rPr>
          <w:iCs/>
          <w:sz w:val="22"/>
          <w:szCs w:val="22"/>
          <w:lang w:val="fr-FR" w:eastAsia="zh-CN"/>
        </w:rPr>
      </w:pPr>
      <w:bookmarkStart w:id="1" w:name="_Hlk45695202"/>
      <w:r w:rsidRPr="002837A0">
        <w:rPr>
          <w:iCs/>
          <w:sz w:val="22"/>
          <w:szCs w:val="22"/>
          <w:lang w:val="fr-FR" w:eastAsia="zh-CN"/>
        </w:rPr>
        <w:t xml:space="preserve">Pièce jointe A </w:t>
      </w:r>
      <w:r w:rsidR="00894199">
        <w:rPr>
          <w:iCs/>
          <w:sz w:val="22"/>
          <w:szCs w:val="22"/>
          <w:lang w:val="fr-FR" w:eastAsia="zh-CN"/>
        </w:rPr>
        <w:t>–</w:t>
      </w:r>
      <w:r w:rsidRPr="002837A0">
        <w:rPr>
          <w:iCs/>
          <w:sz w:val="22"/>
          <w:szCs w:val="22"/>
          <w:lang w:val="fr-FR" w:eastAsia="zh-CN"/>
        </w:rPr>
        <w:t xml:space="preserve"> </w:t>
      </w:r>
      <w:r w:rsidR="00894199">
        <w:rPr>
          <w:iCs/>
          <w:sz w:val="22"/>
          <w:szCs w:val="22"/>
          <w:lang w:val="fr-FR" w:eastAsia="zh-CN"/>
        </w:rPr>
        <w:t xml:space="preserve">Formulaire de la </w:t>
      </w:r>
      <w:r w:rsidRPr="002837A0">
        <w:rPr>
          <w:iCs/>
          <w:sz w:val="22"/>
          <w:szCs w:val="22"/>
          <w:lang w:val="fr-FR" w:eastAsia="zh-CN"/>
        </w:rPr>
        <w:t>Demande de Subvention</w:t>
      </w:r>
    </w:p>
    <w:p w14:paraId="5C4F9F8B" w14:textId="4CFBBDE5" w:rsidR="008E7C7D" w:rsidRPr="002837A0" w:rsidRDefault="008E7C7D" w:rsidP="00894199">
      <w:pPr>
        <w:suppressAutoHyphens w:val="0"/>
        <w:spacing w:line="276" w:lineRule="auto"/>
        <w:rPr>
          <w:iCs/>
          <w:sz w:val="22"/>
          <w:szCs w:val="22"/>
          <w:lang w:val="fr-FR" w:eastAsia="zh-CN"/>
        </w:rPr>
      </w:pPr>
      <w:r w:rsidRPr="002837A0">
        <w:rPr>
          <w:iCs/>
          <w:sz w:val="22"/>
          <w:szCs w:val="22"/>
          <w:lang w:val="fr-FR" w:eastAsia="zh-CN"/>
        </w:rPr>
        <w:t xml:space="preserve">Pièce jointe B </w:t>
      </w:r>
      <w:r w:rsidR="00894199">
        <w:rPr>
          <w:iCs/>
          <w:sz w:val="22"/>
          <w:szCs w:val="22"/>
          <w:lang w:val="fr-FR" w:eastAsia="zh-CN"/>
        </w:rPr>
        <w:t>–</w:t>
      </w:r>
      <w:r w:rsidRPr="002837A0">
        <w:rPr>
          <w:iCs/>
          <w:sz w:val="22"/>
          <w:szCs w:val="22"/>
          <w:lang w:val="fr-FR" w:eastAsia="zh-CN"/>
        </w:rPr>
        <w:t xml:space="preserve"> </w:t>
      </w:r>
      <w:r w:rsidR="00894199">
        <w:rPr>
          <w:iCs/>
          <w:sz w:val="22"/>
          <w:szCs w:val="22"/>
          <w:lang w:val="fr-FR" w:eastAsia="zh-CN"/>
        </w:rPr>
        <w:t>Fichier Excel de Budget et des Indicateurs</w:t>
      </w:r>
    </w:p>
    <w:p w14:paraId="66046A75" w14:textId="6C56044D" w:rsidR="00894199" w:rsidRDefault="00894199" w:rsidP="00894199">
      <w:pPr>
        <w:suppressAutoHyphens w:val="0"/>
        <w:spacing w:line="276" w:lineRule="auto"/>
        <w:rPr>
          <w:iCs/>
          <w:sz w:val="22"/>
          <w:szCs w:val="22"/>
          <w:lang w:val="fr-FR" w:eastAsia="zh-CN"/>
        </w:rPr>
      </w:pPr>
      <w:r>
        <w:rPr>
          <w:iCs/>
          <w:sz w:val="22"/>
          <w:szCs w:val="22"/>
          <w:lang w:val="fr-FR" w:eastAsia="zh-CN"/>
        </w:rPr>
        <w:t xml:space="preserve">Piece jointe C - </w:t>
      </w:r>
      <w:r w:rsidRPr="002837A0">
        <w:rPr>
          <w:iCs/>
          <w:sz w:val="22"/>
          <w:szCs w:val="22"/>
          <w:lang w:val="fr-FR" w:eastAsia="zh-CN"/>
        </w:rPr>
        <w:t>Définition de</w:t>
      </w:r>
      <w:r>
        <w:rPr>
          <w:iCs/>
          <w:sz w:val="22"/>
          <w:szCs w:val="22"/>
          <w:lang w:val="fr-FR" w:eastAsia="zh-CN"/>
        </w:rPr>
        <w:t>s</w:t>
      </w:r>
      <w:r w:rsidRPr="002837A0">
        <w:rPr>
          <w:iCs/>
          <w:sz w:val="22"/>
          <w:szCs w:val="22"/>
          <w:lang w:val="fr-FR" w:eastAsia="zh-CN"/>
        </w:rPr>
        <w:t xml:space="preserve"> </w:t>
      </w:r>
      <w:r>
        <w:rPr>
          <w:iCs/>
          <w:sz w:val="22"/>
          <w:szCs w:val="22"/>
          <w:lang w:val="fr-FR" w:eastAsia="zh-CN"/>
        </w:rPr>
        <w:t>I</w:t>
      </w:r>
      <w:r w:rsidRPr="002837A0">
        <w:rPr>
          <w:iCs/>
          <w:sz w:val="22"/>
          <w:szCs w:val="22"/>
          <w:lang w:val="fr-FR" w:eastAsia="zh-CN"/>
        </w:rPr>
        <w:t>ndicateur</w:t>
      </w:r>
      <w:r>
        <w:rPr>
          <w:iCs/>
          <w:sz w:val="22"/>
          <w:szCs w:val="22"/>
          <w:lang w:val="fr-FR" w:eastAsia="zh-CN"/>
        </w:rPr>
        <w:t>s</w:t>
      </w:r>
      <w:r w:rsidRPr="002837A0">
        <w:rPr>
          <w:iCs/>
          <w:sz w:val="22"/>
          <w:szCs w:val="22"/>
          <w:lang w:val="fr-FR" w:eastAsia="zh-CN"/>
        </w:rPr>
        <w:t xml:space="preserve"> de Performance</w:t>
      </w:r>
      <w:r w:rsidRPr="002837A0">
        <w:rPr>
          <w:iCs/>
          <w:sz w:val="22"/>
          <w:szCs w:val="22"/>
          <w:lang w:val="fr-FR" w:eastAsia="zh-CN"/>
        </w:rPr>
        <w:t xml:space="preserve"> </w:t>
      </w:r>
    </w:p>
    <w:p w14:paraId="1ED99260" w14:textId="1323F897" w:rsidR="00894199" w:rsidRDefault="008E7C7D" w:rsidP="00894199">
      <w:pPr>
        <w:suppressAutoHyphens w:val="0"/>
        <w:spacing w:line="276" w:lineRule="auto"/>
        <w:rPr>
          <w:iCs/>
          <w:sz w:val="22"/>
          <w:szCs w:val="22"/>
          <w:lang w:val="fr-FR" w:eastAsia="zh-CN"/>
        </w:rPr>
      </w:pPr>
      <w:r w:rsidRPr="002837A0">
        <w:rPr>
          <w:iCs/>
          <w:sz w:val="22"/>
          <w:szCs w:val="22"/>
          <w:lang w:val="fr-FR" w:eastAsia="zh-CN"/>
        </w:rPr>
        <w:t>Annexe</w:t>
      </w:r>
      <w:r w:rsidR="00894199">
        <w:rPr>
          <w:iCs/>
          <w:sz w:val="22"/>
          <w:szCs w:val="22"/>
          <w:lang w:val="fr-FR" w:eastAsia="zh-CN"/>
        </w:rPr>
        <w:t xml:space="preserve"> A – Liste de contrôle des demandes de subvention</w:t>
      </w:r>
    </w:p>
    <w:p w14:paraId="38C39453" w14:textId="37B34380" w:rsidR="00894199" w:rsidRDefault="00894199" w:rsidP="00894199">
      <w:pPr>
        <w:suppressAutoHyphens w:val="0"/>
        <w:spacing w:line="276" w:lineRule="auto"/>
        <w:rPr>
          <w:iCs/>
          <w:sz w:val="22"/>
          <w:szCs w:val="22"/>
          <w:lang w:val="fr-FR" w:eastAsia="zh-CN"/>
        </w:rPr>
      </w:pPr>
      <w:r>
        <w:rPr>
          <w:iCs/>
          <w:sz w:val="22"/>
          <w:szCs w:val="22"/>
          <w:lang w:val="fr-FR" w:eastAsia="zh-CN"/>
        </w:rPr>
        <w:t>Annexe B – Lettre d’accompagnement du demandeur</w:t>
      </w:r>
    </w:p>
    <w:bookmarkEnd w:id="1"/>
    <w:p w14:paraId="68B217F3" w14:textId="372B562A" w:rsidR="008E7C7D" w:rsidRPr="002837A0" w:rsidRDefault="008E7C7D" w:rsidP="008E7C7D">
      <w:pPr>
        <w:suppressAutoHyphens w:val="0"/>
        <w:spacing w:after="200" w:line="276" w:lineRule="auto"/>
        <w:rPr>
          <w:iCs/>
          <w:sz w:val="22"/>
          <w:szCs w:val="22"/>
          <w:lang w:val="fr-FR" w:eastAsia="zh-CN"/>
        </w:rPr>
        <w:sectPr w:rsidR="008E7C7D" w:rsidRPr="002837A0" w:rsidSect="00E1068B">
          <w:headerReference w:type="default" r:id="rId14"/>
          <w:footerReference w:type="default" r:id="rId15"/>
          <w:headerReference w:type="first" r:id="rId16"/>
          <w:footerReference w:type="first" r:id="rId17"/>
          <w:pgSz w:w="11909" w:h="16834" w:code="9"/>
          <w:pgMar w:top="794" w:right="1134" w:bottom="1134" w:left="1134" w:header="1296" w:footer="720" w:gutter="0"/>
          <w:pgNumType w:start="7"/>
          <w:cols w:space="720"/>
          <w:docGrid w:linePitch="326"/>
        </w:sectPr>
      </w:pPr>
      <w:r w:rsidRPr="002837A0">
        <w:rPr>
          <w:iCs/>
          <w:sz w:val="22"/>
          <w:szCs w:val="22"/>
          <w:lang w:val="fr-FR" w:eastAsia="zh-CN"/>
        </w:rPr>
        <w:t xml:space="preserve"> </w:t>
      </w:r>
    </w:p>
    <w:p w14:paraId="55D1E27F" w14:textId="77777777" w:rsidR="000940B9" w:rsidRPr="00C33FD1" w:rsidRDefault="000940B9" w:rsidP="000940B9">
      <w:pPr>
        <w:rPr>
          <w:sz w:val="22"/>
          <w:szCs w:val="22"/>
          <w:lang w:val="fr-FR"/>
        </w:rPr>
      </w:pPr>
    </w:p>
    <w:p w14:paraId="4D2FECA5" w14:textId="74467D1D" w:rsidR="00894199" w:rsidRDefault="00894199" w:rsidP="008E7C7D">
      <w:pPr>
        <w:suppressAutoHyphens w:val="0"/>
        <w:spacing w:before="100" w:beforeAutospacing="1" w:after="100" w:afterAutospacing="1"/>
        <w:rPr>
          <w:b/>
          <w:szCs w:val="24"/>
          <w:lang w:val="fr-FR"/>
        </w:rPr>
      </w:pPr>
      <w:r>
        <w:rPr>
          <w:b/>
          <w:szCs w:val="24"/>
          <w:lang w:val="fr-FR"/>
        </w:rPr>
        <w:t>Annexes</w:t>
      </w:r>
    </w:p>
    <w:p w14:paraId="3FAC3C40" w14:textId="70B0E436" w:rsidR="008E7C7D" w:rsidRPr="002837A0" w:rsidRDefault="008E7C7D" w:rsidP="008E7C7D">
      <w:pPr>
        <w:suppressAutoHyphens w:val="0"/>
        <w:spacing w:before="100" w:beforeAutospacing="1" w:after="100" w:afterAutospacing="1"/>
        <w:rPr>
          <w:b/>
          <w:szCs w:val="24"/>
          <w:lang w:val="fr-FR"/>
        </w:rPr>
      </w:pPr>
      <w:r w:rsidRPr="002837A0">
        <w:rPr>
          <w:b/>
          <w:szCs w:val="24"/>
          <w:lang w:val="fr-FR"/>
        </w:rPr>
        <w:t>A. LISTE DE CONTRÔLE DES DEMANDES DE SUBVENTION</w:t>
      </w:r>
    </w:p>
    <w:p w14:paraId="4D904A0D" w14:textId="77777777" w:rsidR="008E7C7D" w:rsidRPr="002837A0" w:rsidRDefault="008E7C7D" w:rsidP="008E7C7D">
      <w:pPr>
        <w:suppressAutoHyphens w:val="0"/>
        <w:spacing w:before="100" w:beforeAutospacing="1" w:after="100" w:afterAutospacing="1"/>
        <w:rPr>
          <w:sz w:val="22"/>
          <w:szCs w:val="22"/>
          <w:lang w:val="fr-FR"/>
        </w:rPr>
      </w:pPr>
      <w:r w:rsidRPr="002837A0">
        <w:rPr>
          <w:sz w:val="22"/>
          <w:szCs w:val="22"/>
          <w:lang w:val="fr-FR"/>
        </w:rPr>
        <w:t>PRO-Cashew demande que votre organisation soumette un certain nombre de documents avec cette demande.</w:t>
      </w:r>
    </w:p>
    <w:p w14:paraId="3375B6A8" w14:textId="77777777" w:rsidR="008E7C7D" w:rsidRPr="002837A0" w:rsidRDefault="008E7C7D" w:rsidP="008E7C7D">
      <w:pPr>
        <w:suppressAutoHyphens w:val="0"/>
        <w:spacing w:before="100" w:beforeAutospacing="1" w:after="100" w:afterAutospacing="1"/>
        <w:rPr>
          <w:sz w:val="22"/>
          <w:szCs w:val="22"/>
          <w:lang w:val="fr-FR"/>
        </w:rPr>
      </w:pPr>
      <w:r w:rsidRPr="002837A0">
        <w:rPr>
          <w:sz w:val="22"/>
          <w:szCs w:val="22"/>
          <w:lang w:val="fr-FR"/>
        </w:rPr>
        <w:t>Les bénéficiaires doivent s'assurer de soumettre les documents suivants afin d'être considérés comme éligibles à l'octroi d'une subvention. Remplissez cette page pour vous assurer que toutes les informations demandées ont été incluses:</w:t>
      </w:r>
    </w:p>
    <w:p w14:paraId="45ED0E04" w14:textId="1E532655" w:rsidR="008E7C7D" w:rsidRPr="002837A0" w:rsidRDefault="00BA284F" w:rsidP="008E7C7D">
      <w:pPr>
        <w:suppressAutoHyphens w:val="0"/>
        <w:spacing w:before="100" w:beforeAutospacing="1" w:after="100" w:afterAutospacing="1"/>
        <w:rPr>
          <w:sz w:val="22"/>
          <w:szCs w:val="22"/>
          <w:lang w:val="fr-FR"/>
        </w:rPr>
      </w:pPr>
      <w:r w:rsidRPr="002837A0">
        <w:rPr>
          <w:sz w:val="22"/>
          <w:szCs w:val="22"/>
          <w:lang w:val="fr-FR"/>
        </w:rPr>
        <w:t>1. Lettre d'A</w:t>
      </w:r>
      <w:r w:rsidR="008E7C7D" w:rsidRPr="002837A0">
        <w:rPr>
          <w:sz w:val="22"/>
          <w:szCs w:val="22"/>
          <w:lang w:val="fr-FR"/>
        </w:rPr>
        <w:t>ccompagnement (</w:t>
      </w:r>
      <w:r w:rsidR="00E30BD5">
        <w:rPr>
          <w:sz w:val="22"/>
          <w:szCs w:val="22"/>
          <w:lang w:val="fr-FR"/>
        </w:rPr>
        <w:t>Annexe</w:t>
      </w:r>
      <w:r w:rsidR="008E7C7D" w:rsidRPr="002837A0">
        <w:rPr>
          <w:sz w:val="22"/>
          <w:szCs w:val="22"/>
          <w:lang w:val="fr-FR"/>
        </w:rPr>
        <w:t xml:space="preserve"> B) sur papier à en-tête de l'entreprise, signée par un représentant autorisé du demandeur</w:t>
      </w:r>
    </w:p>
    <w:p w14:paraId="1CDF48F4" w14:textId="45CDA08D" w:rsidR="008E7C7D" w:rsidRPr="002837A0" w:rsidRDefault="00BA284F" w:rsidP="008E7C7D">
      <w:pPr>
        <w:suppressAutoHyphens w:val="0"/>
        <w:spacing w:before="100" w:beforeAutospacing="1" w:after="100" w:afterAutospacing="1"/>
        <w:rPr>
          <w:sz w:val="22"/>
          <w:szCs w:val="22"/>
          <w:lang w:val="fr-FR"/>
        </w:rPr>
      </w:pPr>
      <w:r w:rsidRPr="002837A0">
        <w:rPr>
          <w:sz w:val="22"/>
          <w:szCs w:val="22"/>
          <w:lang w:val="fr-FR"/>
        </w:rPr>
        <w:t>2. Demande de S</w:t>
      </w:r>
      <w:r w:rsidR="008E7C7D" w:rsidRPr="002837A0">
        <w:rPr>
          <w:sz w:val="22"/>
          <w:szCs w:val="22"/>
          <w:lang w:val="fr-FR"/>
        </w:rPr>
        <w:t xml:space="preserve">ubvention (pièce jointe </w:t>
      </w:r>
      <w:r w:rsidR="00E30BD5">
        <w:rPr>
          <w:sz w:val="22"/>
          <w:szCs w:val="22"/>
          <w:lang w:val="fr-FR"/>
        </w:rPr>
        <w:t>A</w:t>
      </w:r>
      <w:r w:rsidR="008E7C7D" w:rsidRPr="002837A0">
        <w:rPr>
          <w:sz w:val="22"/>
          <w:szCs w:val="22"/>
          <w:lang w:val="fr-FR"/>
        </w:rPr>
        <w:t xml:space="preserve">) avec </w:t>
      </w:r>
      <w:r w:rsidRPr="002837A0">
        <w:rPr>
          <w:sz w:val="22"/>
          <w:szCs w:val="22"/>
          <w:lang w:val="fr-FR"/>
        </w:rPr>
        <w:t xml:space="preserve">les </w:t>
      </w:r>
      <w:r w:rsidR="008E7C7D" w:rsidRPr="002837A0">
        <w:rPr>
          <w:sz w:val="22"/>
          <w:szCs w:val="22"/>
          <w:lang w:val="fr-FR"/>
        </w:rPr>
        <w:t>réponse</w:t>
      </w:r>
      <w:r w:rsidRPr="002837A0">
        <w:rPr>
          <w:sz w:val="22"/>
          <w:szCs w:val="22"/>
          <w:lang w:val="fr-FR"/>
        </w:rPr>
        <w:t>s</w:t>
      </w:r>
      <w:r w:rsidR="008E7C7D" w:rsidRPr="002837A0">
        <w:rPr>
          <w:sz w:val="22"/>
          <w:szCs w:val="22"/>
          <w:lang w:val="fr-FR"/>
        </w:rPr>
        <w:t xml:space="preserve"> à toutes les questions et joindre les documents suivants en pièce jointe à la demande:</w:t>
      </w:r>
    </w:p>
    <w:p w14:paraId="0DEBD8E7" w14:textId="77777777" w:rsidR="00BB0A57" w:rsidRPr="002837A0" w:rsidRDefault="00BA284F" w:rsidP="00BA284F">
      <w:pPr>
        <w:pStyle w:val="ListParagraph"/>
        <w:numPr>
          <w:ilvl w:val="0"/>
          <w:numId w:val="31"/>
        </w:numPr>
        <w:suppressAutoHyphens w:val="0"/>
        <w:spacing w:before="100" w:beforeAutospacing="1" w:after="100" w:afterAutospacing="1"/>
        <w:rPr>
          <w:sz w:val="22"/>
          <w:szCs w:val="22"/>
          <w:lang w:val="fr-FR"/>
        </w:rPr>
      </w:pPr>
      <w:r w:rsidRPr="002837A0">
        <w:rPr>
          <w:sz w:val="22"/>
          <w:szCs w:val="22"/>
          <w:lang w:val="fr-FR"/>
        </w:rPr>
        <w:t>Un tableau contenant les principaux bilans et les relevés de gains de l'usine de transformation de noix de cajou de 2019 et  des 4 prochaines années (Actif, Capitaux propres, Ventes, Coût des ventes, EBITA)</w:t>
      </w:r>
    </w:p>
    <w:p w14:paraId="0A4FA6CB" w14:textId="77777777" w:rsidR="00BB0A57" w:rsidRPr="002837A0" w:rsidRDefault="00BA284F" w:rsidP="00BA284F">
      <w:pPr>
        <w:pStyle w:val="ListParagraph"/>
        <w:numPr>
          <w:ilvl w:val="0"/>
          <w:numId w:val="31"/>
        </w:numPr>
        <w:suppressAutoHyphens w:val="0"/>
        <w:spacing w:before="100" w:beforeAutospacing="1" w:after="100" w:afterAutospacing="1"/>
        <w:rPr>
          <w:sz w:val="22"/>
          <w:szCs w:val="22"/>
          <w:lang w:val="fr-FR"/>
        </w:rPr>
      </w:pPr>
      <w:r w:rsidRPr="002837A0">
        <w:rPr>
          <w:sz w:val="22"/>
          <w:szCs w:val="22"/>
          <w:lang w:val="fr-FR"/>
        </w:rPr>
        <w:t>La fiche d'information bancaire</w:t>
      </w:r>
    </w:p>
    <w:p w14:paraId="54B59BB2" w14:textId="77777777" w:rsidR="00BB0A57" w:rsidRPr="002837A0" w:rsidRDefault="00BA284F" w:rsidP="00BA284F">
      <w:pPr>
        <w:pStyle w:val="ListParagraph"/>
        <w:numPr>
          <w:ilvl w:val="0"/>
          <w:numId w:val="31"/>
        </w:numPr>
        <w:suppressAutoHyphens w:val="0"/>
        <w:spacing w:before="100" w:beforeAutospacing="1" w:after="100" w:afterAutospacing="1"/>
        <w:rPr>
          <w:sz w:val="22"/>
          <w:szCs w:val="22"/>
          <w:lang w:val="fr-FR"/>
        </w:rPr>
      </w:pPr>
      <w:r w:rsidRPr="002837A0">
        <w:rPr>
          <w:sz w:val="22"/>
          <w:szCs w:val="22"/>
          <w:lang w:val="fr-FR"/>
        </w:rPr>
        <w:t>Les CV de tout le personnel de niveau intermédiaire et supérieur qui travaillera sur le projet de votre institution</w:t>
      </w:r>
    </w:p>
    <w:p w14:paraId="04B79056" w14:textId="77777777" w:rsidR="00BB0A57" w:rsidRPr="002837A0" w:rsidRDefault="00BA284F" w:rsidP="00BA284F">
      <w:pPr>
        <w:pStyle w:val="ListParagraph"/>
        <w:numPr>
          <w:ilvl w:val="0"/>
          <w:numId w:val="31"/>
        </w:numPr>
        <w:suppressAutoHyphens w:val="0"/>
        <w:spacing w:before="100" w:beforeAutospacing="1" w:after="100" w:afterAutospacing="1"/>
        <w:rPr>
          <w:sz w:val="22"/>
          <w:szCs w:val="22"/>
          <w:lang w:val="fr-FR"/>
        </w:rPr>
      </w:pPr>
      <w:r w:rsidRPr="002837A0">
        <w:rPr>
          <w:sz w:val="22"/>
          <w:szCs w:val="22"/>
          <w:lang w:val="fr-FR"/>
        </w:rPr>
        <w:t>Enregistrement légal de l'entreprise auprès du gouvernement</w:t>
      </w:r>
    </w:p>
    <w:p w14:paraId="132EC342" w14:textId="1128F555" w:rsidR="00BA284F" w:rsidRPr="002837A0" w:rsidRDefault="00BA284F" w:rsidP="00BA284F">
      <w:pPr>
        <w:pStyle w:val="ListParagraph"/>
        <w:numPr>
          <w:ilvl w:val="0"/>
          <w:numId w:val="31"/>
        </w:numPr>
        <w:suppressAutoHyphens w:val="0"/>
        <w:spacing w:before="100" w:beforeAutospacing="1" w:after="100" w:afterAutospacing="1"/>
        <w:rPr>
          <w:sz w:val="22"/>
          <w:szCs w:val="22"/>
          <w:lang w:val="fr-FR"/>
        </w:rPr>
      </w:pPr>
      <w:r w:rsidRPr="002837A0">
        <w:rPr>
          <w:sz w:val="22"/>
          <w:szCs w:val="22"/>
          <w:lang w:val="fr-FR"/>
        </w:rPr>
        <w:t>Toute autre information supplémentaire liée à la description de votre objectif ou à la mise en œuvre du projet.</w:t>
      </w:r>
    </w:p>
    <w:p w14:paraId="040578DF" w14:textId="279710BE" w:rsidR="00BA284F" w:rsidRPr="002837A0" w:rsidRDefault="00BA284F" w:rsidP="00BA284F">
      <w:pPr>
        <w:suppressAutoHyphens w:val="0"/>
        <w:spacing w:before="100" w:beforeAutospacing="1" w:after="100" w:afterAutospacing="1"/>
        <w:rPr>
          <w:sz w:val="22"/>
          <w:szCs w:val="22"/>
          <w:lang w:val="fr-FR"/>
        </w:rPr>
      </w:pPr>
      <w:r w:rsidRPr="002837A0">
        <w:rPr>
          <w:sz w:val="22"/>
          <w:szCs w:val="22"/>
          <w:lang w:val="fr-FR"/>
        </w:rPr>
        <w:t>3. Budget (pièce jointe</w:t>
      </w:r>
      <w:r w:rsidR="00E30BD5">
        <w:rPr>
          <w:sz w:val="22"/>
          <w:szCs w:val="22"/>
          <w:lang w:val="fr-FR"/>
        </w:rPr>
        <w:t xml:space="preserve"> B</w:t>
      </w:r>
      <w:r w:rsidRPr="002837A0">
        <w:rPr>
          <w:sz w:val="22"/>
          <w:szCs w:val="22"/>
          <w:lang w:val="fr-FR"/>
        </w:rPr>
        <w:t>) et notes budgétaires.</w:t>
      </w:r>
    </w:p>
    <w:p w14:paraId="60FAB7D6" w14:textId="09C67E27" w:rsidR="00BA284F" w:rsidRPr="002837A0" w:rsidRDefault="00BA284F" w:rsidP="00BA284F">
      <w:pPr>
        <w:suppressAutoHyphens w:val="0"/>
        <w:spacing w:before="100" w:beforeAutospacing="1" w:after="100" w:afterAutospacing="1"/>
        <w:rPr>
          <w:sz w:val="22"/>
          <w:szCs w:val="22"/>
          <w:lang w:val="fr-FR"/>
        </w:rPr>
      </w:pPr>
      <w:r w:rsidRPr="002837A0">
        <w:rPr>
          <w:sz w:val="22"/>
          <w:szCs w:val="22"/>
          <w:lang w:val="fr-FR"/>
        </w:rPr>
        <w:t xml:space="preserve">4. Tableau de l'indicateur de performance à la page 5 du RFA de l'année 1 à l'année 5. Se référer à la définition de l'indicateur de performance (pièce jointe </w:t>
      </w:r>
      <w:r w:rsidR="00E30BD5">
        <w:rPr>
          <w:sz w:val="22"/>
          <w:szCs w:val="22"/>
          <w:lang w:val="fr-FR"/>
        </w:rPr>
        <w:t>B, deuxième feuille</w:t>
      </w:r>
      <w:r w:rsidRPr="002837A0">
        <w:rPr>
          <w:sz w:val="22"/>
          <w:szCs w:val="22"/>
          <w:lang w:val="fr-FR"/>
        </w:rPr>
        <w:t>).</w:t>
      </w:r>
    </w:p>
    <w:p w14:paraId="0D6B68C2" w14:textId="77777777" w:rsidR="00BA284F" w:rsidRPr="002837A0" w:rsidRDefault="00BA284F" w:rsidP="00BA284F">
      <w:pPr>
        <w:suppressAutoHyphens w:val="0"/>
        <w:spacing w:before="100" w:beforeAutospacing="1" w:after="100" w:afterAutospacing="1"/>
        <w:rPr>
          <w:sz w:val="22"/>
          <w:szCs w:val="22"/>
          <w:lang w:val="fr-FR"/>
        </w:rPr>
      </w:pPr>
      <w:r w:rsidRPr="002837A0">
        <w:rPr>
          <w:sz w:val="22"/>
          <w:szCs w:val="22"/>
          <w:lang w:val="fr-FR"/>
        </w:rPr>
        <w:t>4. Copie de l’enregistrement ou de la licence commerciale du demandeur.</w:t>
      </w:r>
    </w:p>
    <w:p w14:paraId="03AD938C" w14:textId="6C9E900C" w:rsidR="00F320B9" w:rsidRPr="002837A0" w:rsidRDefault="00BA284F" w:rsidP="00BA284F">
      <w:pPr>
        <w:suppressAutoHyphens w:val="0"/>
        <w:spacing w:before="100" w:beforeAutospacing="1" w:after="100" w:afterAutospacing="1"/>
        <w:rPr>
          <w:sz w:val="22"/>
          <w:szCs w:val="22"/>
          <w:lang w:val="fr-FR"/>
        </w:rPr>
      </w:pPr>
      <w:r w:rsidRPr="002837A0">
        <w:rPr>
          <w:sz w:val="22"/>
          <w:szCs w:val="22"/>
          <w:lang w:val="fr-FR"/>
        </w:rPr>
        <w:t>La demande doit être signée et datée par l'agent autorisé de l'organisation qui a rempli ou examiné le formulaire.</w:t>
      </w:r>
    </w:p>
    <w:p w14:paraId="2D63859F" w14:textId="77777777" w:rsidR="00F320B9" w:rsidRPr="002837A0" w:rsidRDefault="00F320B9" w:rsidP="00CE6176">
      <w:pPr>
        <w:suppressAutoHyphens w:val="0"/>
        <w:spacing w:before="100" w:beforeAutospacing="1" w:after="100" w:afterAutospacing="1"/>
        <w:rPr>
          <w:sz w:val="22"/>
          <w:szCs w:val="22"/>
          <w:lang w:val="fr-FR"/>
        </w:rPr>
      </w:pPr>
    </w:p>
    <w:p w14:paraId="15DB4FF8" w14:textId="19979C1C" w:rsidR="00CE6176" w:rsidRPr="002837A0" w:rsidRDefault="00CE6176" w:rsidP="00CE6176">
      <w:pPr>
        <w:suppressAutoHyphens w:val="0"/>
        <w:spacing w:before="100" w:beforeAutospacing="1" w:after="100" w:afterAutospacing="1"/>
        <w:rPr>
          <w:sz w:val="22"/>
          <w:szCs w:val="22"/>
          <w:lang w:val="fr-FR"/>
        </w:rPr>
      </w:pPr>
    </w:p>
    <w:p w14:paraId="684CAECB" w14:textId="60DA8CAB" w:rsidR="00CE6176" w:rsidRPr="002837A0" w:rsidRDefault="00CE6176" w:rsidP="00CE6176">
      <w:pPr>
        <w:suppressAutoHyphens w:val="0"/>
        <w:spacing w:before="100" w:beforeAutospacing="1" w:after="100" w:afterAutospacing="1"/>
        <w:rPr>
          <w:sz w:val="22"/>
          <w:szCs w:val="22"/>
          <w:lang w:val="fr-FR"/>
        </w:rPr>
      </w:pPr>
    </w:p>
    <w:p w14:paraId="3B535DAE" w14:textId="083DA2B9" w:rsidR="00CE6176" w:rsidRPr="002837A0" w:rsidRDefault="00CE6176" w:rsidP="00CE6176">
      <w:pPr>
        <w:suppressAutoHyphens w:val="0"/>
        <w:spacing w:before="100" w:beforeAutospacing="1" w:after="100" w:afterAutospacing="1"/>
        <w:rPr>
          <w:sz w:val="22"/>
          <w:szCs w:val="22"/>
          <w:lang w:val="fr-FR"/>
        </w:rPr>
      </w:pPr>
    </w:p>
    <w:p w14:paraId="3F9843C3" w14:textId="4F6C5E4A" w:rsidR="00CE6176" w:rsidRPr="002837A0" w:rsidRDefault="00CE6176" w:rsidP="00CE6176">
      <w:pPr>
        <w:suppressAutoHyphens w:val="0"/>
        <w:spacing w:before="100" w:beforeAutospacing="1" w:after="100" w:afterAutospacing="1"/>
        <w:rPr>
          <w:sz w:val="22"/>
          <w:szCs w:val="22"/>
          <w:lang w:val="fr-FR"/>
        </w:rPr>
      </w:pPr>
    </w:p>
    <w:p w14:paraId="649400BE" w14:textId="77777777" w:rsidR="003668E6" w:rsidRPr="002837A0" w:rsidRDefault="003668E6">
      <w:pPr>
        <w:suppressAutoHyphens w:val="0"/>
        <w:spacing w:after="200" w:line="276" w:lineRule="auto"/>
        <w:rPr>
          <w:b/>
          <w:bCs/>
          <w:sz w:val="22"/>
          <w:szCs w:val="22"/>
          <w:lang w:val="fr-FR"/>
        </w:rPr>
      </w:pPr>
      <w:r w:rsidRPr="002837A0">
        <w:rPr>
          <w:lang w:val="fr-FR"/>
        </w:rPr>
        <w:br w:type="page"/>
      </w:r>
    </w:p>
    <w:p w14:paraId="63B3475C" w14:textId="77777777" w:rsidR="00A5361A" w:rsidRPr="002837A0" w:rsidRDefault="00A5361A" w:rsidP="00CE6176">
      <w:pPr>
        <w:pStyle w:val="Heading2"/>
        <w:rPr>
          <w:lang w:val="fr-FR"/>
        </w:rPr>
      </w:pPr>
    </w:p>
    <w:p w14:paraId="64CD8C51" w14:textId="2892281F" w:rsidR="005674A9" w:rsidRPr="002837A0" w:rsidRDefault="00894199" w:rsidP="005674A9">
      <w:pPr>
        <w:suppressAutoHyphens w:val="0"/>
        <w:spacing w:before="100" w:beforeAutospacing="1" w:after="100" w:afterAutospacing="1"/>
        <w:rPr>
          <w:b/>
          <w:sz w:val="22"/>
          <w:szCs w:val="22"/>
          <w:lang w:val="fr-FR"/>
        </w:rPr>
      </w:pPr>
      <w:r>
        <w:rPr>
          <w:b/>
          <w:sz w:val="22"/>
          <w:szCs w:val="22"/>
          <w:lang w:val="fr-FR"/>
        </w:rPr>
        <w:t>Annexe</w:t>
      </w:r>
      <w:r w:rsidR="005674A9" w:rsidRPr="002837A0">
        <w:rPr>
          <w:b/>
          <w:sz w:val="22"/>
          <w:szCs w:val="22"/>
          <w:lang w:val="fr-FR"/>
        </w:rPr>
        <w:t xml:space="preserve"> B. LETTRE D’ACCOMPAGNMENT DU DEMANDEUR</w:t>
      </w:r>
    </w:p>
    <w:p w14:paraId="3C8CE3C1" w14:textId="1B5818DF" w:rsidR="005674A9" w:rsidRPr="002837A0" w:rsidRDefault="005674A9" w:rsidP="005674A9">
      <w:pPr>
        <w:suppressAutoHyphens w:val="0"/>
        <w:spacing w:before="100" w:beforeAutospacing="1" w:after="100" w:afterAutospacing="1"/>
        <w:rPr>
          <w:sz w:val="22"/>
          <w:szCs w:val="22"/>
          <w:lang w:val="fr-FR"/>
        </w:rPr>
      </w:pPr>
      <w:r w:rsidRPr="002837A0">
        <w:rPr>
          <w:sz w:val="22"/>
          <w:szCs w:val="22"/>
          <w:lang w:val="fr-FR"/>
        </w:rPr>
        <w:t>La lettre d'accompagnement suivante doit être écrite sur du papier à en-tête et remplie / signée / cachetée par un représentant autorisé à signer au nom du demandeur:</w:t>
      </w:r>
    </w:p>
    <w:p w14:paraId="040A4546" w14:textId="491B1A9D" w:rsidR="005674A9" w:rsidRPr="002837A0" w:rsidRDefault="00DA7162" w:rsidP="005674A9">
      <w:pPr>
        <w:suppressAutoHyphens w:val="0"/>
        <w:spacing w:before="100" w:beforeAutospacing="1" w:after="100" w:afterAutospacing="1"/>
        <w:rPr>
          <w:sz w:val="22"/>
          <w:szCs w:val="22"/>
          <w:lang w:val="fr-FR"/>
        </w:rPr>
      </w:pPr>
      <w:r w:rsidRPr="002837A0">
        <w:rPr>
          <w:sz w:val="22"/>
          <w:szCs w:val="22"/>
          <w:lang w:val="fr-FR"/>
        </w:rPr>
        <w:t>Au</w:t>
      </w:r>
      <w:r w:rsidR="005674A9" w:rsidRPr="002837A0">
        <w:rPr>
          <w:sz w:val="22"/>
          <w:szCs w:val="22"/>
          <w:lang w:val="fr-FR"/>
        </w:rPr>
        <w:t>: Comité de sélection des Bénéficiaires</w:t>
      </w:r>
    </w:p>
    <w:p w14:paraId="19103FF6" w14:textId="77777777" w:rsidR="005674A9" w:rsidRPr="002837A0" w:rsidRDefault="005674A9" w:rsidP="005674A9">
      <w:pPr>
        <w:suppressAutoHyphens w:val="0"/>
        <w:spacing w:before="100" w:beforeAutospacing="1" w:after="100" w:afterAutospacing="1"/>
        <w:rPr>
          <w:sz w:val="22"/>
          <w:szCs w:val="22"/>
          <w:lang w:val="fr-FR"/>
        </w:rPr>
      </w:pPr>
      <w:r w:rsidRPr="002837A0">
        <w:rPr>
          <w:sz w:val="22"/>
          <w:szCs w:val="22"/>
          <w:lang w:val="fr-FR"/>
        </w:rPr>
        <w:t>Immeuble LG, Etage 1</w:t>
      </w:r>
    </w:p>
    <w:p w14:paraId="1F727651" w14:textId="77777777" w:rsidR="005674A9" w:rsidRPr="002837A0" w:rsidRDefault="005674A9" w:rsidP="005674A9">
      <w:pPr>
        <w:suppressAutoHyphens w:val="0"/>
        <w:spacing w:before="100" w:beforeAutospacing="1" w:after="100" w:afterAutospacing="1"/>
        <w:rPr>
          <w:sz w:val="22"/>
          <w:szCs w:val="22"/>
          <w:lang w:val="fr-FR"/>
        </w:rPr>
      </w:pPr>
      <w:r w:rsidRPr="002837A0">
        <w:rPr>
          <w:sz w:val="22"/>
          <w:szCs w:val="22"/>
          <w:lang w:val="fr-FR"/>
        </w:rPr>
        <w:t xml:space="preserve">Avenue </w:t>
      </w:r>
      <w:proofErr w:type="spellStart"/>
      <w:r w:rsidRPr="002837A0">
        <w:rPr>
          <w:sz w:val="22"/>
          <w:szCs w:val="22"/>
          <w:lang w:val="fr-FR"/>
        </w:rPr>
        <w:t>Boga</w:t>
      </w:r>
      <w:proofErr w:type="spellEnd"/>
      <w:r w:rsidRPr="002837A0">
        <w:rPr>
          <w:sz w:val="22"/>
          <w:szCs w:val="22"/>
          <w:lang w:val="fr-FR"/>
        </w:rPr>
        <w:t xml:space="preserve"> Doudou,</w:t>
      </w:r>
    </w:p>
    <w:p w14:paraId="0531D2E0" w14:textId="77777777" w:rsidR="005674A9" w:rsidRPr="002837A0" w:rsidRDefault="005674A9" w:rsidP="005674A9">
      <w:pPr>
        <w:suppressAutoHyphens w:val="0"/>
        <w:spacing w:before="100" w:beforeAutospacing="1" w:after="100" w:afterAutospacing="1"/>
        <w:rPr>
          <w:sz w:val="22"/>
          <w:szCs w:val="22"/>
          <w:lang w:val="fr-FR"/>
        </w:rPr>
      </w:pPr>
      <w:r w:rsidRPr="002837A0">
        <w:rPr>
          <w:sz w:val="22"/>
          <w:szCs w:val="22"/>
          <w:lang w:val="fr-FR"/>
        </w:rPr>
        <w:t>II Plateaux-Vallon, Abidjan - Côte d’Ivoire</w:t>
      </w:r>
    </w:p>
    <w:p w14:paraId="63739FDC" w14:textId="77777777" w:rsidR="005674A9" w:rsidRPr="002837A0" w:rsidRDefault="005674A9" w:rsidP="005674A9">
      <w:pPr>
        <w:suppressAutoHyphens w:val="0"/>
        <w:spacing w:before="100" w:beforeAutospacing="1" w:after="100" w:afterAutospacing="1"/>
        <w:rPr>
          <w:sz w:val="22"/>
          <w:szCs w:val="22"/>
          <w:lang w:val="fr-FR"/>
        </w:rPr>
      </w:pPr>
      <w:r w:rsidRPr="002837A0">
        <w:rPr>
          <w:sz w:val="22"/>
          <w:szCs w:val="22"/>
          <w:lang w:val="fr-FR"/>
        </w:rPr>
        <w:t>Référence: RFA no. 1</w:t>
      </w:r>
    </w:p>
    <w:p w14:paraId="2568EF88" w14:textId="6B412BB0" w:rsidR="005674A9" w:rsidRPr="002837A0" w:rsidRDefault="005674A9" w:rsidP="005674A9">
      <w:pPr>
        <w:suppressAutoHyphens w:val="0"/>
        <w:spacing w:before="100" w:beforeAutospacing="1" w:after="100" w:afterAutospacing="1"/>
        <w:rPr>
          <w:sz w:val="22"/>
          <w:szCs w:val="22"/>
          <w:lang w:val="fr-FR"/>
        </w:rPr>
      </w:pPr>
      <w:r w:rsidRPr="002837A0">
        <w:rPr>
          <w:sz w:val="22"/>
          <w:szCs w:val="22"/>
          <w:lang w:val="fr-FR"/>
        </w:rPr>
        <w:t>À Qui de Droit:</w:t>
      </w:r>
    </w:p>
    <w:p w14:paraId="25DC9D3E" w14:textId="1C37D730" w:rsidR="005674A9" w:rsidRPr="002837A0" w:rsidRDefault="005674A9" w:rsidP="00CE6176">
      <w:pPr>
        <w:suppressAutoHyphens w:val="0"/>
        <w:spacing w:before="100" w:beforeAutospacing="1" w:after="100" w:afterAutospacing="1"/>
        <w:rPr>
          <w:sz w:val="22"/>
          <w:szCs w:val="22"/>
          <w:lang w:val="fr-FR"/>
        </w:rPr>
      </w:pPr>
      <w:r w:rsidRPr="002837A0">
        <w:rPr>
          <w:sz w:val="22"/>
          <w:szCs w:val="22"/>
          <w:lang w:val="fr-FR"/>
        </w:rPr>
        <w:t>Nous, soussignés, fournissons par la présente la demande ci-jointe pour effectuer tous les travaux requis pour mener à bien les activités et</w:t>
      </w:r>
      <w:r w:rsidR="00E37BCA" w:rsidRPr="002837A0">
        <w:rPr>
          <w:sz w:val="22"/>
          <w:szCs w:val="22"/>
          <w:lang w:val="fr-FR"/>
        </w:rPr>
        <w:t xml:space="preserve"> les exigences décrites dans l'Appel </w:t>
      </w:r>
      <w:r w:rsidR="00DA7162">
        <w:rPr>
          <w:sz w:val="22"/>
          <w:szCs w:val="22"/>
          <w:lang w:val="fr-FR"/>
        </w:rPr>
        <w:t>à candidatures</w:t>
      </w:r>
      <w:r w:rsidRPr="002837A0">
        <w:rPr>
          <w:sz w:val="22"/>
          <w:szCs w:val="22"/>
          <w:lang w:val="fr-FR"/>
        </w:rPr>
        <w:t xml:space="preserve"> susmentionné. Veuillez trouver notre demande ci-jointe.</w:t>
      </w:r>
      <w:r w:rsidRPr="002837A0">
        <w:rPr>
          <w:sz w:val="22"/>
          <w:szCs w:val="22"/>
          <w:lang w:val="fr-FR"/>
        </w:rPr>
        <w:br/>
        <w:t>Par la présente, nous reconnaissons et acceptons toutes les modalités, conditions, dispositions spéciales e</w:t>
      </w:r>
      <w:r w:rsidR="00E37BCA" w:rsidRPr="002837A0">
        <w:rPr>
          <w:sz w:val="22"/>
          <w:szCs w:val="22"/>
          <w:lang w:val="fr-FR"/>
        </w:rPr>
        <w:t xml:space="preserve">t instructions incluses dans l'Appel </w:t>
      </w:r>
      <w:r w:rsidR="00DA7162">
        <w:rPr>
          <w:sz w:val="22"/>
          <w:szCs w:val="22"/>
          <w:lang w:val="fr-FR"/>
        </w:rPr>
        <w:t>à Candidatures</w:t>
      </w:r>
      <w:r w:rsidRPr="002837A0">
        <w:rPr>
          <w:sz w:val="22"/>
          <w:szCs w:val="22"/>
          <w:lang w:val="fr-FR"/>
        </w:rPr>
        <w:t xml:space="preserve"> susmentionné. Nous certifions en outre que la société ci-dessous, ainsi que les principaux dirigeants de la société et tous les produits et ser</w:t>
      </w:r>
      <w:r w:rsidR="00E37BCA" w:rsidRPr="002837A0">
        <w:rPr>
          <w:sz w:val="22"/>
          <w:szCs w:val="22"/>
          <w:lang w:val="fr-FR"/>
        </w:rPr>
        <w:t xml:space="preserve">vices offerts en réponse à cet Appel </w:t>
      </w:r>
      <w:r w:rsidR="00DA7162">
        <w:rPr>
          <w:sz w:val="22"/>
          <w:szCs w:val="22"/>
          <w:lang w:val="fr-FR"/>
        </w:rPr>
        <w:t>à Candidatures</w:t>
      </w:r>
      <w:r w:rsidRPr="002837A0">
        <w:rPr>
          <w:sz w:val="22"/>
          <w:szCs w:val="22"/>
          <w:lang w:val="fr-FR"/>
        </w:rPr>
        <w:t>, sont éligibles pour participer à cet achat conformément aux termes de la présente demande de soumissions et aux règlements de l'USDA.</w:t>
      </w:r>
      <w:r w:rsidRPr="002837A0">
        <w:rPr>
          <w:sz w:val="22"/>
          <w:szCs w:val="22"/>
          <w:lang w:val="fr-FR"/>
        </w:rPr>
        <w:br/>
        <w:t>En outre, nous certifions par la présente que, au meilleur de nos connaissances et croyances:</w:t>
      </w:r>
    </w:p>
    <w:p w14:paraId="6A3F1245" w14:textId="77777777" w:rsidR="00E37BCA" w:rsidRPr="002837A0" w:rsidRDefault="00E37BCA" w:rsidP="00E37BCA">
      <w:pPr>
        <w:pStyle w:val="ListParagraph"/>
        <w:numPr>
          <w:ilvl w:val="0"/>
          <w:numId w:val="22"/>
        </w:numPr>
        <w:suppressAutoHyphens w:val="0"/>
        <w:spacing w:before="100" w:beforeAutospacing="1" w:after="100" w:afterAutospacing="1"/>
        <w:rPr>
          <w:sz w:val="22"/>
          <w:szCs w:val="22"/>
          <w:lang w:val="fr-FR"/>
        </w:rPr>
      </w:pPr>
      <w:r w:rsidRPr="002837A0">
        <w:rPr>
          <w:sz w:val="22"/>
          <w:szCs w:val="22"/>
          <w:lang w:val="fr-FR"/>
        </w:rPr>
        <w:t>Nous n'avons pas de relations étroites, familiales ou financières avec les membres du personnel du projet CNFA ou PRO-Cashew;</w:t>
      </w:r>
    </w:p>
    <w:p w14:paraId="504A1A91" w14:textId="25471B7D" w:rsidR="00E37BCA" w:rsidRPr="002837A0" w:rsidRDefault="00E37BCA" w:rsidP="00E37BCA">
      <w:pPr>
        <w:pStyle w:val="ListParagraph"/>
        <w:numPr>
          <w:ilvl w:val="0"/>
          <w:numId w:val="22"/>
        </w:numPr>
        <w:suppressAutoHyphens w:val="0"/>
        <w:spacing w:before="100" w:beforeAutospacing="1" w:after="100" w:afterAutospacing="1"/>
        <w:rPr>
          <w:sz w:val="22"/>
          <w:szCs w:val="22"/>
          <w:lang w:val="fr-FR"/>
        </w:rPr>
      </w:pPr>
      <w:r w:rsidRPr="002837A0">
        <w:rPr>
          <w:sz w:val="22"/>
          <w:szCs w:val="22"/>
          <w:lang w:val="fr-FR"/>
        </w:rPr>
        <w:t xml:space="preserve">Nous n'avons aucune relation étroite, familiale ou financière avec d'autres candidats soumettant des propositions en réponse à l'Appel </w:t>
      </w:r>
      <w:r w:rsidR="00C4792D">
        <w:rPr>
          <w:sz w:val="22"/>
          <w:szCs w:val="22"/>
          <w:lang w:val="fr-FR"/>
        </w:rPr>
        <w:t>à Candidatures</w:t>
      </w:r>
      <w:r w:rsidRPr="002837A0">
        <w:rPr>
          <w:sz w:val="22"/>
          <w:szCs w:val="22"/>
          <w:lang w:val="fr-FR"/>
        </w:rPr>
        <w:t xml:space="preserve"> susmentionné; et</w:t>
      </w:r>
    </w:p>
    <w:p w14:paraId="21E8DFAF" w14:textId="77777777" w:rsidR="00E37BCA" w:rsidRPr="002837A0" w:rsidRDefault="00E37BCA" w:rsidP="00E37BCA">
      <w:pPr>
        <w:pStyle w:val="ListParagraph"/>
        <w:numPr>
          <w:ilvl w:val="0"/>
          <w:numId w:val="22"/>
        </w:numPr>
        <w:suppressAutoHyphens w:val="0"/>
        <w:spacing w:before="100" w:beforeAutospacing="1" w:after="100" w:afterAutospacing="1"/>
        <w:rPr>
          <w:sz w:val="22"/>
          <w:szCs w:val="22"/>
          <w:lang w:val="fr-FR"/>
        </w:rPr>
      </w:pPr>
      <w:r w:rsidRPr="002837A0">
        <w:rPr>
          <w:sz w:val="22"/>
          <w:szCs w:val="22"/>
          <w:lang w:val="fr-FR"/>
        </w:rPr>
        <w:t>Les prix de notre offre ont été déterminés indépendamment, sans aucune consultation, communication ou accord avec un autre candidat ou concurrent dans le but de restreindre la concurrence.</w:t>
      </w:r>
    </w:p>
    <w:p w14:paraId="545629C1" w14:textId="77777777" w:rsidR="00E37BCA" w:rsidRPr="002837A0" w:rsidRDefault="00E37BCA" w:rsidP="00E37BCA">
      <w:pPr>
        <w:pStyle w:val="ListParagraph"/>
        <w:numPr>
          <w:ilvl w:val="0"/>
          <w:numId w:val="22"/>
        </w:numPr>
        <w:suppressAutoHyphens w:val="0"/>
        <w:spacing w:before="100" w:beforeAutospacing="1" w:after="100" w:afterAutospacing="1"/>
        <w:rPr>
          <w:sz w:val="22"/>
          <w:szCs w:val="22"/>
          <w:lang w:val="fr-FR"/>
        </w:rPr>
      </w:pPr>
      <w:r w:rsidRPr="002837A0">
        <w:rPr>
          <w:sz w:val="22"/>
          <w:szCs w:val="22"/>
          <w:lang w:val="fr-FR"/>
        </w:rPr>
        <w:t>Toutes les informations contenues dans notre application et toutes les pièces justificatives sont authentiques et exactes.</w:t>
      </w:r>
    </w:p>
    <w:p w14:paraId="4D4E8746" w14:textId="77777777" w:rsidR="00E37BCA" w:rsidRPr="002837A0" w:rsidRDefault="00E37BCA" w:rsidP="00E37BCA">
      <w:pPr>
        <w:pStyle w:val="ListParagraph"/>
        <w:numPr>
          <w:ilvl w:val="0"/>
          <w:numId w:val="22"/>
        </w:numPr>
        <w:suppressAutoHyphens w:val="0"/>
        <w:spacing w:before="100" w:beforeAutospacing="1" w:after="100" w:afterAutospacing="1"/>
        <w:rPr>
          <w:sz w:val="22"/>
          <w:szCs w:val="22"/>
          <w:lang w:val="fr-FR"/>
        </w:rPr>
      </w:pPr>
      <w:r w:rsidRPr="002837A0">
        <w:rPr>
          <w:sz w:val="22"/>
          <w:szCs w:val="22"/>
          <w:lang w:val="fr-FR"/>
        </w:rPr>
        <w:t xml:space="preserve"> Nous comprenons et acceptons les interdictions de CNFA contre la fraude, la corruption et les pots-de-vin.</w:t>
      </w:r>
    </w:p>
    <w:p w14:paraId="4903EE7B" w14:textId="2FAA2815" w:rsidR="00E37BCA" w:rsidRPr="002837A0" w:rsidRDefault="00E37BCA" w:rsidP="00E37BCA">
      <w:pPr>
        <w:pStyle w:val="ListParagraph"/>
        <w:numPr>
          <w:ilvl w:val="0"/>
          <w:numId w:val="22"/>
        </w:numPr>
        <w:suppressAutoHyphens w:val="0"/>
        <w:spacing w:before="100" w:beforeAutospacing="1" w:after="100" w:afterAutospacing="1"/>
        <w:rPr>
          <w:sz w:val="22"/>
          <w:szCs w:val="22"/>
          <w:lang w:val="fr-FR"/>
        </w:rPr>
      </w:pPr>
      <w:r w:rsidRPr="002837A0">
        <w:rPr>
          <w:sz w:val="22"/>
          <w:szCs w:val="22"/>
          <w:lang w:val="fr-FR"/>
        </w:rPr>
        <w:t>Nous comprenons et acceptons les interdictions de CNFA contre tout financement ou association avec des individus ou des organisations impliqués dans des activités liées au terrorisme ou à la traite des personnes.</w:t>
      </w:r>
    </w:p>
    <w:p w14:paraId="73F089CD" w14:textId="77777777" w:rsidR="00E37BCA" w:rsidRPr="002837A0" w:rsidRDefault="00E37BCA" w:rsidP="00E37BCA">
      <w:pPr>
        <w:suppressAutoHyphens w:val="0"/>
        <w:spacing w:before="100" w:beforeAutospacing="1" w:after="100" w:afterAutospacing="1"/>
        <w:rPr>
          <w:sz w:val="22"/>
          <w:szCs w:val="22"/>
          <w:lang w:val="fr-FR"/>
        </w:rPr>
      </w:pPr>
      <w:r w:rsidRPr="002837A0">
        <w:rPr>
          <w:sz w:val="22"/>
          <w:szCs w:val="22"/>
          <w:lang w:val="fr-FR"/>
        </w:rPr>
        <w:t>Nous certifions par la présente que les déclarations, certifications et autres déclarations ci-jointes sont exactes, à jour et complètes:</w:t>
      </w:r>
    </w:p>
    <w:p w14:paraId="6DE36911" w14:textId="77777777" w:rsidR="00E37BCA" w:rsidRPr="002837A0" w:rsidRDefault="00E37BCA" w:rsidP="00E37BCA">
      <w:pPr>
        <w:suppressAutoHyphens w:val="0"/>
        <w:spacing w:before="100" w:beforeAutospacing="1" w:after="100" w:afterAutospacing="1"/>
        <w:rPr>
          <w:sz w:val="22"/>
          <w:szCs w:val="22"/>
          <w:lang w:val="fr-FR"/>
        </w:rPr>
      </w:pPr>
      <w:r w:rsidRPr="002837A0">
        <w:rPr>
          <w:sz w:val="22"/>
          <w:szCs w:val="22"/>
          <w:lang w:val="fr-FR"/>
        </w:rPr>
        <w:t>Signataire autorisé:</w:t>
      </w:r>
    </w:p>
    <w:p w14:paraId="4842AB15" w14:textId="77777777" w:rsidR="00E37BCA" w:rsidRPr="002837A0" w:rsidRDefault="00E37BCA" w:rsidP="00E37BCA">
      <w:pPr>
        <w:suppressAutoHyphens w:val="0"/>
        <w:spacing w:before="100" w:beforeAutospacing="1" w:after="100" w:afterAutospacing="1"/>
        <w:rPr>
          <w:sz w:val="22"/>
          <w:szCs w:val="22"/>
          <w:lang w:val="fr-FR"/>
        </w:rPr>
      </w:pPr>
      <w:r w:rsidRPr="002837A0">
        <w:rPr>
          <w:sz w:val="22"/>
          <w:szCs w:val="22"/>
          <w:lang w:val="fr-FR"/>
        </w:rPr>
        <w:t>Nom et titre du signataire:</w:t>
      </w:r>
    </w:p>
    <w:p w14:paraId="194C955F" w14:textId="40AA32D9" w:rsidR="00E37BCA" w:rsidRPr="002837A0" w:rsidRDefault="00E37BCA" w:rsidP="00E37BCA">
      <w:pPr>
        <w:suppressAutoHyphens w:val="0"/>
        <w:spacing w:before="100" w:beforeAutospacing="1" w:after="100" w:afterAutospacing="1"/>
        <w:rPr>
          <w:sz w:val="22"/>
          <w:szCs w:val="22"/>
        </w:rPr>
      </w:pPr>
      <w:r w:rsidRPr="002837A0">
        <w:rPr>
          <w:sz w:val="22"/>
          <w:szCs w:val="22"/>
        </w:rPr>
        <w:t>Date:</w:t>
      </w:r>
    </w:p>
    <w:p w14:paraId="7DC9400D" w14:textId="5BF37055" w:rsidR="00A52697" w:rsidRPr="002837A0" w:rsidRDefault="00E37BCA" w:rsidP="00A5361A">
      <w:pPr>
        <w:suppressAutoHyphens w:val="0"/>
        <w:spacing w:before="100" w:beforeAutospacing="1" w:after="100" w:afterAutospacing="1"/>
      </w:pPr>
      <w:r w:rsidRPr="002837A0">
        <w:rPr>
          <w:sz w:val="22"/>
          <w:szCs w:val="22"/>
        </w:rPr>
        <w:t>Enregistrement de l’entreprise</w:t>
      </w:r>
      <w:r w:rsidR="00CE6176" w:rsidRPr="002837A0">
        <w:rPr>
          <w:sz w:val="22"/>
          <w:szCs w:val="22"/>
        </w:rPr>
        <w:t>:</w:t>
      </w:r>
    </w:p>
    <w:sectPr w:rsidR="00A52697" w:rsidRPr="002837A0" w:rsidSect="00BB0ED2">
      <w:pgSz w:w="11909" w:h="16834" w:code="9"/>
      <w:pgMar w:top="1134" w:right="1134" w:bottom="1134" w:left="1134"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3E7EB" w14:textId="77777777" w:rsidR="00B3007C" w:rsidRDefault="00B3007C" w:rsidP="008E4E76">
      <w:r>
        <w:separator/>
      </w:r>
    </w:p>
  </w:endnote>
  <w:endnote w:type="continuationSeparator" w:id="0">
    <w:p w14:paraId="69852574" w14:textId="77777777" w:rsidR="00B3007C" w:rsidRDefault="00B3007C" w:rsidP="008E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FF0000"/>
      </w:rPr>
      <w:id w:val="1672373981"/>
      <w:docPartObj>
        <w:docPartGallery w:val="Page Numbers (Bottom of Page)"/>
        <w:docPartUnique/>
      </w:docPartObj>
    </w:sdtPr>
    <w:sdtEndPr>
      <w:rPr>
        <w:i/>
        <w:color w:val="1F497D" w:themeColor="text2"/>
        <w:spacing w:val="60"/>
        <w:sz w:val="20"/>
      </w:rPr>
    </w:sdtEndPr>
    <w:sdtContent>
      <w:p w14:paraId="47EC2A9A" w14:textId="5F0ED533" w:rsidR="00C33FD1" w:rsidRPr="00853284" w:rsidRDefault="00C33FD1" w:rsidP="00E1068B">
        <w:pPr>
          <w:pStyle w:val="Footer"/>
          <w:pBdr>
            <w:top w:val="single" w:sz="4" w:space="1" w:color="D9D9D9" w:themeColor="background1" w:themeShade="D9"/>
          </w:pBdr>
          <w:rPr>
            <w:i/>
            <w:color w:val="1F497D" w:themeColor="text2"/>
            <w:spacing w:val="60"/>
            <w:sz w:val="20"/>
          </w:rPr>
        </w:pPr>
        <w:r w:rsidRPr="00853284">
          <w:rPr>
            <w:color w:val="1F497D" w:themeColor="text2"/>
            <w:sz w:val="20"/>
          </w:rPr>
          <w:fldChar w:fldCharType="begin"/>
        </w:r>
        <w:r w:rsidRPr="00853284">
          <w:rPr>
            <w:color w:val="1F497D" w:themeColor="text2"/>
            <w:sz w:val="20"/>
          </w:rPr>
          <w:instrText xml:space="preserve"> PAGE   \* MERGEFORMAT </w:instrText>
        </w:r>
        <w:r w:rsidRPr="00853284">
          <w:rPr>
            <w:color w:val="1F497D" w:themeColor="text2"/>
            <w:sz w:val="20"/>
          </w:rPr>
          <w:fldChar w:fldCharType="separate"/>
        </w:r>
        <w:r w:rsidR="00C4792D">
          <w:rPr>
            <w:noProof/>
            <w:color w:val="1F497D" w:themeColor="text2"/>
            <w:sz w:val="20"/>
          </w:rPr>
          <w:t>8</w:t>
        </w:r>
        <w:r w:rsidRPr="00853284">
          <w:rPr>
            <w:b/>
            <w:bCs/>
            <w:noProof/>
            <w:color w:val="1F497D" w:themeColor="text2"/>
            <w:sz w:val="20"/>
          </w:rPr>
          <w:fldChar w:fldCharType="end"/>
        </w:r>
        <w:r w:rsidRPr="00853284">
          <w:rPr>
            <w:b/>
            <w:bCs/>
            <w:color w:val="1F497D" w:themeColor="text2"/>
            <w:sz w:val="20"/>
          </w:rPr>
          <w:t xml:space="preserve"> </w:t>
        </w:r>
        <w:r w:rsidRPr="00853284">
          <w:rPr>
            <w:b/>
            <w:bCs/>
            <w:i/>
            <w:color w:val="1F497D" w:themeColor="text2"/>
            <w:sz w:val="20"/>
          </w:rPr>
          <w:t xml:space="preserve">|       </w:t>
        </w:r>
        <w:r w:rsidRPr="00853284">
          <w:rPr>
            <w:i/>
            <w:color w:val="1F497D" w:themeColor="text2"/>
            <w:spacing w:val="60"/>
            <w:sz w:val="20"/>
          </w:rPr>
          <w:t>Request for Applications (RFA)</w:t>
        </w:r>
        <w:r w:rsidRPr="00853284">
          <w:rPr>
            <w:i/>
            <w:color w:val="1F497D" w:themeColor="text2"/>
            <w:sz w:val="20"/>
          </w:rPr>
          <w:t xml:space="preserve"> No.1 - AGRICULTURE EXTENSION GRANT</w:t>
        </w:r>
        <w:r>
          <w:rPr>
            <w:i/>
            <w:color w:val="1F497D" w:themeColor="text2"/>
            <w:sz w:val="20"/>
          </w:rPr>
          <w:t>S</w:t>
        </w:r>
      </w:p>
    </w:sdtContent>
  </w:sdt>
  <w:p w14:paraId="6655BC8A" w14:textId="77777777" w:rsidR="00C33FD1" w:rsidRDefault="00C33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FF0000"/>
      </w:rPr>
      <w:id w:val="-475689475"/>
      <w:docPartObj>
        <w:docPartGallery w:val="Page Numbers (Bottom of Page)"/>
        <w:docPartUnique/>
      </w:docPartObj>
    </w:sdtPr>
    <w:sdtEndPr>
      <w:rPr>
        <w:i/>
        <w:spacing w:val="60"/>
        <w:sz w:val="20"/>
      </w:rPr>
    </w:sdtEndPr>
    <w:sdtContent>
      <w:p w14:paraId="6E90C4C2" w14:textId="59FCDF32" w:rsidR="00C33FD1" w:rsidRPr="008551D8" w:rsidRDefault="00C33FD1">
        <w:pPr>
          <w:pStyle w:val="Footer"/>
          <w:pBdr>
            <w:top w:val="single" w:sz="4" w:space="1" w:color="D9D9D9" w:themeColor="background1" w:themeShade="D9"/>
          </w:pBdr>
          <w:rPr>
            <w:b/>
            <w:bCs/>
            <w:i/>
            <w:color w:val="FF0000"/>
            <w:sz w:val="20"/>
          </w:rPr>
        </w:pPr>
        <w:r w:rsidRPr="00256845">
          <w:rPr>
            <w:i/>
            <w:color w:val="1F497D" w:themeColor="text2"/>
            <w:spacing w:val="60"/>
            <w:sz w:val="20"/>
          </w:rPr>
          <w:fldChar w:fldCharType="begin"/>
        </w:r>
        <w:r w:rsidRPr="00256845">
          <w:rPr>
            <w:i/>
            <w:color w:val="1F497D" w:themeColor="text2"/>
            <w:spacing w:val="60"/>
            <w:sz w:val="20"/>
          </w:rPr>
          <w:instrText xml:space="preserve"> PAGE   \* MERGEFORMAT </w:instrText>
        </w:r>
        <w:r w:rsidRPr="00256845">
          <w:rPr>
            <w:i/>
            <w:color w:val="1F497D" w:themeColor="text2"/>
            <w:spacing w:val="60"/>
            <w:sz w:val="20"/>
          </w:rPr>
          <w:fldChar w:fldCharType="separate"/>
        </w:r>
        <w:r w:rsidR="00C4792D">
          <w:rPr>
            <w:i/>
            <w:noProof/>
            <w:color w:val="1F497D" w:themeColor="text2"/>
            <w:spacing w:val="60"/>
            <w:sz w:val="20"/>
          </w:rPr>
          <w:t>15</w:t>
        </w:r>
        <w:r w:rsidRPr="00256845">
          <w:rPr>
            <w:i/>
            <w:color w:val="1F497D" w:themeColor="text2"/>
            <w:spacing w:val="60"/>
            <w:sz w:val="20"/>
          </w:rPr>
          <w:fldChar w:fldCharType="end"/>
        </w:r>
        <w:r w:rsidRPr="00256845">
          <w:rPr>
            <w:i/>
            <w:color w:val="1F497D" w:themeColor="text2"/>
            <w:spacing w:val="60"/>
            <w:sz w:val="20"/>
          </w:rPr>
          <w:t xml:space="preserve"> |</w:t>
        </w:r>
        <w:r w:rsidRPr="008551D8">
          <w:rPr>
            <w:b/>
            <w:bCs/>
            <w:i/>
            <w:color w:val="FF0000"/>
            <w:sz w:val="20"/>
          </w:rPr>
          <w:t xml:space="preserve"> </w:t>
        </w:r>
        <w:r>
          <w:rPr>
            <w:b/>
            <w:bCs/>
            <w:i/>
            <w:color w:val="FF0000"/>
            <w:sz w:val="20"/>
          </w:rPr>
          <w:t xml:space="preserve">      </w:t>
        </w:r>
        <w:r w:rsidRPr="00853284">
          <w:rPr>
            <w:i/>
            <w:color w:val="1F497D" w:themeColor="text2"/>
            <w:spacing w:val="60"/>
            <w:sz w:val="20"/>
          </w:rPr>
          <w:t>Request for Applications (RFA)</w:t>
        </w:r>
        <w:r w:rsidRPr="00853284">
          <w:rPr>
            <w:i/>
            <w:color w:val="1F497D" w:themeColor="text2"/>
            <w:sz w:val="20"/>
          </w:rPr>
          <w:t xml:space="preserve"> No.1 - AGRICULTURE EXTENSION GRANT</w:t>
        </w:r>
        <w:r w:rsidRPr="008551D8" w:rsidDel="00256845">
          <w:rPr>
            <w:i/>
            <w:color w:val="FF0000"/>
            <w:spacing w:val="60"/>
            <w:sz w:val="20"/>
          </w:rPr>
          <w:t xml:space="preserve"> </w:t>
        </w:r>
      </w:p>
    </w:sdtContent>
  </w:sdt>
  <w:p w14:paraId="3E3D4F09" w14:textId="77777777" w:rsidR="00C33FD1" w:rsidRDefault="00C33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AE584" w14:textId="77777777" w:rsidR="00C33FD1" w:rsidRDefault="00C33FD1" w:rsidP="00F27C09">
    <w:pPr>
      <w:pBdr>
        <w:top w:val="thinThickLargeGap" w:sz="6" w:space="3" w:color="auto"/>
      </w:pBdr>
      <w:tabs>
        <w:tab w:val="center" w:pos="4680"/>
        <w:tab w:val="right" w:pos="9360"/>
        <w:tab w:val="right" w:pos="12960"/>
      </w:tabs>
      <w:rPr>
        <w:i/>
        <w:iCs/>
        <w:sz w:val="18"/>
        <w:szCs w:val="18"/>
      </w:rPr>
    </w:pPr>
    <w:r>
      <w:rPr>
        <w:sz w:val="18"/>
        <w:szCs w:val="18"/>
      </w:rPr>
      <w:t>Restoring Efficiency to Agriculture Production</w:t>
    </w:r>
    <w:r>
      <w:rPr>
        <w:sz w:val="18"/>
        <w:szCs w:val="18"/>
      </w:rPr>
      <w:tab/>
    </w:r>
    <w:r>
      <w:rPr>
        <w:sz w:val="18"/>
        <w:szCs w:val="18"/>
      </w:rPr>
      <w:tab/>
    </w:r>
    <w:r>
      <w:rPr>
        <w:i/>
        <w:iCs/>
        <w:sz w:val="18"/>
        <w:szCs w:val="18"/>
      </w:rPr>
      <w:t>Request for Applications N 001/1213</w:t>
    </w:r>
  </w:p>
  <w:p w14:paraId="5494025F" w14:textId="77777777" w:rsidR="00C33FD1" w:rsidRDefault="00C33FD1" w:rsidP="00871D2D">
    <w:pPr>
      <w:pBdr>
        <w:top w:val="thinThickLargeGap" w:sz="6" w:space="3" w:color="auto"/>
      </w:pBdr>
      <w:tabs>
        <w:tab w:val="center" w:pos="4680"/>
        <w:tab w:val="right" w:pos="9360"/>
        <w:tab w:val="right" w:pos="12960"/>
      </w:tabs>
      <w:rPr>
        <w:i/>
        <w:iCs/>
        <w:sz w:val="18"/>
        <w:szCs w:val="18"/>
      </w:rPr>
    </w:pPr>
  </w:p>
  <w:p w14:paraId="4D2BD572" w14:textId="77777777" w:rsidR="00C33FD1" w:rsidRPr="006005F8" w:rsidRDefault="00C33FD1" w:rsidP="00871D2D">
    <w:pPr>
      <w:pBdr>
        <w:top w:val="thinThickLargeGap" w:sz="6" w:space="3" w:color="auto"/>
      </w:pBdr>
      <w:tabs>
        <w:tab w:val="center" w:pos="4680"/>
        <w:tab w:val="right" w:pos="9360"/>
        <w:tab w:val="right" w:pos="12960"/>
      </w:tabs>
      <w:rPr>
        <w:sz w:val="18"/>
        <w:szCs w:val="18"/>
      </w:rPr>
    </w:pPr>
  </w:p>
  <w:p w14:paraId="25A85593" w14:textId="77777777" w:rsidR="00C33FD1" w:rsidRDefault="00C33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C7068" w14:textId="77777777" w:rsidR="00B3007C" w:rsidRDefault="00B3007C" w:rsidP="008E4E76">
      <w:r>
        <w:separator/>
      </w:r>
    </w:p>
  </w:footnote>
  <w:footnote w:type="continuationSeparator" w:id="0">
    <w:p w14:paraId="6B58C00D" w14:textId="77777777" w:rsidR="00B3007C" w:rsidRDefault="00B3007C" w:rsidP="008E4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EE865" w14:textId="69E0B816" w:rsidR="00C33FD1" w:rsidRDefault="00C33FD1">
    <w:pPr>
      <w:pStyle w:val="Header"/>
    </w:pPr>
    <w:r w:rsidRPr="00CF7B3E">
      <w:rPr>
        <w:noProof/>
        <w:lang w:val="fr-FR" w:eastAsia="fr-FR"/>
      </w:rPr>
      <w:drawing>
        <wp:anchor distT="0" distB="0" distL="114300" distR="114300" simplePos="0" relativeHeight="251663360" behindDoc="0" locked="0" layoutInCell="1" allowOverlap="1" wp14:anchorId="2D38D913" wp14:editId="090B25F3">
          <wp:simplePos x="0" y="0"/>
          <wp:positionH relativeFrom="leftMargin">
            <wp:posOffset>355600</wp:posOffset>
          </wp:positionH>
          <wp:positionV relativeFrom="paragraph">
            <wp:posOffset>121920</wp:posOffset>
          </wp:positionV>
          <wp:extent cx="975360" cy="746646"/>
          <wp:effectExtent l="0" t="0" r="0" b="0"/>
          <wp:wrapNone/>
          <wp:docPr id="37" name="Picture 37">
            <a:extLst xmlns:a="http://schemas.openxmlformats.org/drawingml/2006/main">
              <a:ext uri="{FF2B5EF4-FFF2-40B4-BE49-F238E27FC236}">
                <a16:creationId xmlns:a16="http://schemas.microsoft.com/office/drawing/2014/main" id="{3BD5A8F6-8A27-4751-8090-2E24124585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BD5A8F6-8A27-4751-8090-2E24124585D5}"/>
                      </a:ext>
                    </a:extLst>
                  </pic:cNvPr>
                  <pic:cNvPicPr>
                    <a:picLocks noChangeAspect="1"/>
                  </pic:cNvPicPr>
                </pic:nvPicPr>
                <pic:blipFill>
                  <a:blip r:embed="rId1"/>
                  <a:stretch>
                    <a:fillRect/>
                  </a:stretch>
                </pic:blipFill>
                <pic:spPr>
                  <a:xfrm>
                    <a:off x="0" y="0"/>
                    <a:ext cx="981997" cy="751727"/>
                  </a:xfrm>
                  <a:prstGeom prst="rect">
                    <a:avLst/>
                  </a:prstGeom>
                </pic:spPr>
              </pic:pic>
            </a:graphicData>
          </a:graphic>
          <wp14:sizeRelH relativeFrom="margin">
            <wp14:pctWidth>0</wp14:pctWidth>
          </wp14:sizeRelH>
          <wp14:sizeRelV relativeFrom="margin">
            <wp14:pctHeight>0</wp14:pctHeight>
          </wp14:sizeRelV>
        </wp:anchor>
      </w:drawing>
    </w:r>
    <w:r w:rsidRPr="00CF7B3E">
      <w:rPr>
        <w:noProof/>
        <w:lang w:val="fr-FR" w:eastAsia="fr-FR"/>
      </w:rPr>
      <w:drawing>
        <wp:anchor distT="0" distB="0" distL="114300" distR="114300" simplePos="0" relativeHeight="251664384" behindDoc="0" locked="0" layoutInCell="1" allowOverlap="1" wp14:anchorId="2587D10B" wp14:editId="33262B77">
          <wp:simplePos x="0" y="0"/>
          <wp:positionH relativeFrom="column">
            <wp:posOffset>5038725</wp:posOffset>
          </wp:positionH>
          <wp:positionV relativeFrom="paragraph">
            <wp:posOffset>104775</wp:posOffset>
          </wp:positionV>
          <wp:extent cx="1646453" cy="703613"/>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NFA_LogoTag_Lockup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46453" cy="70361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3098A" w14:textId="66E7BBA0" w:rsidR="00C33FD1" w:rsidRDefault="00C33FD1">
    <w:pPr>
      <w:pStyle w:val="Header"/>
    </w:pPr>
    <w:r w:rsidRPr="00C51945">
      <w:rPr>
        <w:rFonts w:asciiTheme="minorHAnsi" w:hAnsiTheme="minorHAnsi"/>
        <w:noProof/>
        <w:sz w:val="22"/>
        <w:szCs w:val="22"/>
        <w:lang w:val="fr-FR" w:eastAsia="fr-FR"/>
      </w:rPr>
      <w:drawing>
        <wp:anchor distT="0" distB="0" distL="114300" distR="114300" simplePos="0" relativeHeight="251659264" behindDoc="0" locked="0" layoutInCell="1" allowOverlap="1" wp14:anchorId="4F65FBBD" wp14:editId="433EAB95">
          <wp:simplePos x="0" y="0"/>
          <wp:positionH relativeFrom="leftMargin">
            <wp:posOffset>393700</wp:posOffset>
          </wp:positionH>
          <wp:positionV relativeFrom="paragraph">
            <wp:posOffset>-627380</wp:posOffset>
          </wp:positionV>
          <wp:extent cx="1035670" cy="792480"/>
          <wp:effectExtent l="0" t="0" r="0" b="7620"/>
          <wp:wrapNone/>
          <wp:docPr id="2" name="Picture 2">
            <a:extLst xmlns:a="http://schemas.openxmlformats.org/drawingml/2006/main">
              <a:ext uri="{FF2B5EF4-FFF2-40B4-BE49-F238E27FC236}">
                <a16:creationId xmlns:a16="http://schemas.microsoft.com/office/drawing/2014/main" id="{3BD5A8F6-8A27-4751-8090-2E24124585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BD5A8F6-8A27-4751-8090-2E24124585D5}"/>
                      </a:ext>
                    </a:extLst>
                  </pic:cNvPr>
                  <pic:cNvPicPr>
                    <a:picLocks noChangeAspect="1"/>
                  </pic:cNvPicPr>
                </pic:nvPicPr>
                <pic:blipFill>
                  <a:blip r:embed="rId1"/>
                  <a:stretch>
                    <a:fillRect/>
                  </a:stretch>
                </pic:blipFill>
                <pic:spPr>
                  <a:xfrm>
                    <a:off x="0" y="0"/>
                    <a:ext cx="1035670" cy="792480"/>
                  </a:xfrm>
                  <a:prstGeom prst="rect">
                    <a:avLst/>
                  </a:prstGeom>
                </pic:spPr>
              </pic:pic>
            </a:graphicData>
          </a:graphic>
          <wp14:sizeRelH relativeFrom="margin">
            <wp14:pctWidth>0</wp14:pctWidth>
          </wp14:sizeRelH>
          <wp14:sizeRelV relativeFrom="margin">
            <wp14:pctHeight>0</wp14:pctHeight>
          </wp14:sizeRelV>
        </wp:anchor>
      </w:drawing>
    </w:r>
    <w:r w:rsidRPr="00C51945">
      <w:rPr>
        <w:rFonts w:asciiTheme="minorHAnsi" w:hAnsiTheme="minorHAnsi"/>
        <w:noProof/>
        <w:sz w:val="22"/>
        <w:szCs w:val="22"/>
        <w:lang w:val="fr-FR" w:eastAsia="fr-FR"/>
      </w:rPr>
      <w:drawing>
        <wp:anchor distT="0" distB="0" distL="114300" distR="114300" simplePos="0" relativeHeight="251661312" behindDoc="0" locked="0" layoutInCell="1" allowOverlap="1" wp14:anchorId="0FB0A343" wp14:editId="0C6E0A68">
          <wp:simplePos x="0" y="0"/>
          <wp:positionH relativeFrom="column">
            <wp:posOffset>5118735</wp:posOffset>
          </wp:positionH>
          <wp:positionV relativeFrom="paragraph">
            <wp:posOffset>-698500</wp:posOffset>
          </wp:positionV>
          <wp:extent cx="1646453" cy="70361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NFA_LogoTag_Lockup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46453" cy="70361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5A063" w14:textId="77777777" w:rsidR="00C33FD1" w:rsidRDefault="00C33FD1">
    <w:pPr>
      <w:pStyle w:val="Header"/>
    </w:pPr>
    <w:r>
      <w:rPr>
        <w:noProof/>
        <w:lang w:val="fr-FR" w:eastAsia="fr-FR"/>
      </w:rPr>
      <w:drawing>
        <wp:inline distT="0" distB="0" distL="0" distR="0" wp14:anchorId="5026AAEA" wp14:editId="7677AD98">
          <wp:extent cx="5733415" cy="511475"/>
          <wp:effectExtent l="0" t="0" r="635" b="3175"/>
          <wp:docPr id="4" name="Picture 4" descr="C:\Users\joconnell\AppData\Local\Microsoft\Windows\Temporary Internet Files\Content.Outlook\H2DMTQMI\USAID_REA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ell\AppData\Local\Microsoft\Windows\Temporary Internet Files\Content.Outlook\H2DMTQMI\USAID_REA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511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57050"/>
    <w:multiLevelType w:val="hybridMultilevel"/>
    <w:tmpl w:val="8D0A4002"/>
    <w:lvl w:ilvl="0" w:tplc="664E23F0">
      <w:numFmt w:val="bullet"/>
      <w:lvlText w:val="•"/>
      <w:lvlJc w:val="left"/>
      <w:pPr>
        <w:ind w:left="1570" w:hanging="360"/>
      </w:pPr>
      <w:rPr>
        <w:rFonts w:hint="default"/>
        <w:lang w:val="en-GB" w:eastAsia="en-GB" w:bidi="en-GB"/>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 w15:restartNumberingAfterBreak="0">
    <w:nsid w:val="0C083F3E"/>
    <w:multiLevelType w:val="hybridMultilevel"/>
    <w:tmpl w:val="F19A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E5D6D"/>
    <w:multiLevelType w:val="hybridMultilevel"/>
    <w:tmpl w:val="4A9CDA38"/>
    <w:lvl w:ilvl="0" w:tplc="C70EFEC4">
      <w:start w:val="1"/>
      <w:numFmt w:val="bullet"/>
      <w:pStyle w:val="bulletslevel2"/>
      <w:lvlText w:val="–"/>
      <w:lvlJc w:val="left"/>
      <w:pPr>
        <w:ind w:left="108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D771175"/>
    <w:multiLevelType w:val="hybridMultilevel"/>
    <w:tmpl w:val="E3EA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900DA"/>
    <w:multiLevelType w:val="hybridMultilevel"/>
    <w:tmpl w:val="44AE3E46"/>
    <w:lvl w:ilvl="0" w:tplc="299E0EBE">
      <w:start w:val="1"/>
      <w:numFmt w:val="decimal"/>
      <w:lvlText w:val="%1)"/>
      <w:lvlJc w:val="left"/>
      <w:pPr>
        <w:ind w:left="100" w:hanging="255"/>
      </w:pPr>
      <w:rPr>
        <w:rFonts w:ascii="Times New Roman" w:eastAsia="Times New Roman" w:hAnsi="Times New Roman" w:hint="default"/>
        <w:b/>
        <w:bCs/>
        <w:spacing w:val="-9"/>
        <w:sz w:val="24"/>
        <w:szCs w:val="24"/>
      </w:rPr>
    </w:lvl>
    <w:lvl w:ilvl="1" w:tplc="0409000F">
      <w:start w:val="1"/>
      <w:numFmt w:val="decimal"/>
      <w:lvlText w:val="%2."/>
      <w:lvlJc w:val="left"/>
      <w:pPr>
        <w:ind w:left="640" w:hanging="360"/>
      </w:pPr>
      <w:rPr>
        <w:rFonts w:hint="default"/>
        <w:sz w:val="24"/>
        <w:szCs w:val="24"/>
      </w:rPr>
    </w:lvl>
    <w:lvl w:ilvl="2" w:tplc="4BBE433A">
      <w:start w:val="1"/>
      <w:numFmt w:val="bullet"/>
      <w:lvlText w:val="•"/>
      <w:lvlJc w:val="left"/>
      <w:pPr>
        <w:ind w:left="1637" w:hanging="360"/>
      </w:pPr>
      <w:rPr>
        <w:rFonts w:hint="default"/>
      </w:rPr>
    </w:lvl>
    <w:lvl w:ilvl="3" w:tplc="9EAA5CD6">
      <w:start w:val="1"/>
      <w:numFmt w:val="bullet"/>
      <w:lvlText w:val="•"/>
      <w:lvlJc w:val="left"/>
      <w:pPr>
        <w:ind w:left="2635" w:hanging="360"/>
      </w:pPr>
      <w:rPr>
        <w:rFonts w:hint="default"/>
      </w:rPr>
    </w:lvl>
    <w:lvl w:ilvl="4" w:tplc="E3A25D14">
      <w:start w:val="1"/>
      <w:numFmt w:val="bullet"/>
      <w:lvlText w:val="•"/>
      <w:lvlJc w:val="left"/>
      <w:pPr>
        <w:ind w:left="3633" w:hanging="360"/>
      </w:pPr>
      <w:rPr>
        <w:rFonts w:hint="default"/>
      </w:rPr>
    </w:lvl>
    <w:lvl w:ilvl="5" w:tplc="21A07FD8">
      <w:start w:val="1"/>
      <w:numFmt w:val="bullet"/>
      <w:lvlText w:val="•"/>
      <w:lvlJc w:val="left"/>
      <w:pPr>
        <w:ind w:left="4631" w:hanging="360"/>
      </w:pPr>
      <w:rPr>
        <w:rFonts w:hint="default"/>
      </w:rPr>
    </w:lvl>
    <w:lvl w:ilvl="6" w:tplc="0AFE1EE6">
      <w:start w:val="1"/>
      <w:numFmt w:val="bullet"/>
      <w:lvlText w:val="•"/>
      <w:lvlJc w:val="left"/>
      <w:pPr>
        <w:ind w:left="5628" w:hanging="360"/>
      </w:pPr>
      <w:rPr>
        <w:rFonts w:hint="default"/>
      </w:rPr>
    </w:lvl>
    <w:lvl w:ilvl="7" w:tplc="C9FE884C">
      <w:start w:val="1"/>
      <w:numFmt w:val="bullet"/>
      <w:lvlText w:val="•"/>
      <w:lvlJc w:val="left"/>
      <w:pPr>
        <w:ind w:left="6626" w:hanging="360"/>
      </w:pPr>
      <w:rPr>
        <w:rFonts w:hint="default"/>
      </w:rPr>
    </w:lvl>
    <w:lvl w:ilvl="8" w:tplc="5D60B774">
      <w:start w:val="1"/>
      <w:numFmt w:val="bullet"/>
      <w:lvlText w:val="•"/>
      <w:lvlJc w:val="left"/>
      <w:pPr>
        <w:ind w:left="7624" w:hanging="360"/>
      </w:pPr>
      <w:rPr>
        <w:rFonts w:hint="default"/>
      </w:rPr>
    </w:lvl>
  </w:abstractNum>
  <w:abstractNum w:abstractNumId="5" w15:restartNumberingAfterBreak="0">
    <w:nsid w:val="30BA1E41"/>
    <w:multiLevelType w:val="hybridMultilevel"/>
    <w:tmpl w:val="D208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7226C4"/>
    <w:multiLevelType w:val="hybridMultilevel"/>
    <w:tmpl w:val="BB32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607A3"/>
    <w:multiLevelType w:val="hybridMultilevel"/>
    <w:tmpl w:val="17B495D0"/>
    <w:lvl w:ilvl="0" w:tplc="04090019">
      <w:start w:val="1"/>
      <w:numFmt w:val="bullet"/>
      <w:pStyle w:val="BODYTEXT2BULLET1"/>
      <w:lvlText w:val=""/>
      <w:lvlJc w:val="left"/>
      <w:pPr>
        <w:tabs>
          <w:tab w:val="num" w:pos="518"/>
        </w:tabs>
        <w:ind w:left="518" w:hanging="360"/>
      </w:pPr>
      <w:rPr>
        <w:rFonts w:ascii="Symbol" w:hAnsi="Symbol" w:cs="Times New Roman"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1F7F63"/>
    <w:multiLevelType w:val="hybridMultilevel"/>
    <w:tmpl w:val="7BBC4936"/>
    <w:lvl w:ilvl="0" w:tplc="664E23F0">
      <w:numFmt w:val="bullet"/>
      <w:lvlText w:val="•"/>
      <w:lvlJc w:val="left"/>
      <w:pPr>
        <w:ind w:left="720" w:hanging="360"/>
      </w:pPr>
      <w:rPr>
        <w:rFonts w:hint="default"/>
        <w:lang w:val="en-GB" w:eastAsia="en-GB" w:bidi="en-G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C750E3D"/>
    <w:multiLevelType w:val="hybridMultilevel"/>
    <w:tmpl w:val="25103A4E"/>
    <w:lvl w:ilvl="0" w:tplc="0C881E1C">
      <w:numFmt w:val="bullet"/>
      <w:lvlText w:val="-"/>
      <w:lvlJc w:val="left"/>
      <w:pPr>
        <w:ind w:left="1080" w:hanging="360"/>
      </w:pPr>
      <w:rPr>
        <w:rFonts w:ascii="Times New Roman" w:eastAsia="Times New Roman" w:hAnsi="Times New Roman" w:cs="Times New Roman" w:hint="default"/>
        <w:b w:val="0"/>
      </w:rPr>
    </w:lvl>
    <w:lvl w:ilvl="1" w:tplc="3F5877DC">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BC2561"/>
    <w:multiLevelType w:val="hybridMultilevel"/>
    <w:tmpl w:val="2F16B482"/>
    <w:lvl w:ilvl="0" w:tplc="0409000F">
      <w:start w:val="1"/>
      <w:numFmt w:val="decimal"/>
      <w:lvlText w:val="%1."/>
      <w:lvlJc w:val="left"/>
      <w:pPr>
        <w:ind w:left="720" w:hanging="360"/>
      </w:pPr>
      <w:rPr>
        <w:rFonts w:hint="default"/>
      </w:rPr>
    </w:lvl>
    <w:lvl w:ilvl="1" w:tplc="834436F8">
      <w:numFmt w:val="bullet"/>
      <w:lvlText w:val="•"/>
      <w:lvlJc w:val="left"/>
      <w:pPr>
        <w:ind w:left="1440" w:hanging="360"/>
      </w:pPr>
      <w:rPr>
        <w:rFonts w:ascii="Times New Roman" w:eastAsia="Calibri" w:hAnsi="Times New Roman" w:cs="Times New Roman" w:hint="default"/>
      </w:rPr>
    </w:lvl>
    <w:lvl w:ilvl="2" w:tplc="773483A2">
      <w:start w:val="1"/>
      <w:numFmt w:val="upperLetter"/>
      <w:lvlText w:val="%3."/>
      <w:lvlJc w:val="left"/>
      <w:pPr>
        <w:ind w:left="5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6E3585"/>
    <w:multiLevelType w:val="hybridMultilevel"/>
    <w:tmpl w:val="0E844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85F26"/>
    <w:multiLevelType w:val="hybridMultilevel"/>
    <w:tmpl w:val="F850CB68"/>
    <w:lvl w:ilvl="0" w:tplc="0409000F">
      <w:start w:val="1"/>
      <w:numFmt w:val="decimal"/>
      <w:lvlText w:val="%1."/>
      <w:lvlJc w:val="left"/>
      <w:pPr>
        <w:ind w:left="720" w:hanging="360"/>
      </w:pPr>
      <w:rPr>
        <w:rFonts w:hint="default"/>
      </w:rPr>
    </w:lvl>
    <w:lvl w:ilvl="1" w:tplc="834436F8">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17464B"/>
    <w:multiLevelType w:val="hybridMultilevel"/>
    <w:tmpl w:val="BF5A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10802"/>
    <w:multiLevelType w:val="hybridMultilevel"/>
    <w:tmpl w:val="E3E0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61169D"/>
    <w:multiLevelType w:val="hybridMultilevel"/>
    <w:tmpl w:val="6428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44FB2"/>
    <w:multiLevelType w:val="hybridMultilevel"/>
    <w:tmpl w:val="4D2E59BA"/>
    <w:lvl w:ilvl="0" w:tplc="0409000F">
      <w:start w:val="1"/>
      <w:numFmt w:val="decimal"/>
      <w:lvlText w:val="%1."/>
      <w:lvlJc w:val="left"/>
      <w:pPr>
        <w:ind w:left="720" w:hanging="360"/>
      </w:pPr>
      <w:rPr>
        <w:rFonts w:hint="default"/>
      </w:rPr>
    </w:lvl>
    <w:lvl w:ilvl="1" w:tplc="834436F8">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485B09"/>
    <w:multiLevelType w:val="hybridMultilevel"/>
    <w:tmpl w:val="BAA6078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E8A1CAF"/>
    <w:multiLevelType w:val="hybridMultilevel"/>
    <w:tmpl w:val="1E36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473EE0"/>
    <w:multiLevelType w:val="hybridMultilevel"/>
    <w:tmpl w:val="18EEE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FC2A77"/>
    <w:multiLevelType w:val="hybridMultilevel"/>
    <w:tmpl w:val="9308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77EFA"/>
    <w:multiLevelType w:val="hybridMultilevel"/>
    <w:tmpl w:val="13B0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9B36DF"/>
    <w:multiLevelType w:val="hybridMultilevel"/>
    <w:tmpl w:val="EE66709A"/>
    <w:lvl w:ilvl="0" w:tplc="0C881E1C">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6A9A63C2"/>
    <w:multiLevelType w:val="hybridMultilevel"/>
    <w:tmpl w:val="B52CE904"/>
    <w:lvl w:ilvl="0" w:tplc="664E23F0">
      <w:numFmt w:val="bullet"/>
      <w:lvlText w:val="•"/>
      <w:lvlJc w:val="left"/>
      <w:pPr>
        <w:ind w:left="1570" w:hanging="360"/>
      </w:pPr>
      <w:rPr>
        <w:rFonts w:hint="default"/>
        <w:lang w:val="en-GB" w:eastAsia="en-GB" w:bidi="en-GB"/>
      </w:rPr>
    </w:lvl>
    <w:lvl w:ilvl="1" w:tplc="10090003" w:tentative="1">
      <w:start w:val="1"/>
      <w:numFmt w:val="bullet"/>
      <w:lvlText w:val="o"/>
      <w:lvlJc w:val="left"/>
      <w:pPr>
        <w:ind w:left="2290" w:hanging="360"/>
      </w:pPr>
      <w:rPr>
        <w:rFonts w:ascii="Courier New" w:hAnsi="Courier New" w:cs="Courier New" w:hint="default"/>
      </w:rPr>
    </w:lvl>
    <w:lvl w:ilvl="2" w:tplc="10090005" w:tentative="1">
      <w:start w:val="1"/>
      <w:numFmt w:val="bullet"/>
      <w:lvlText w:val=""/>
      <w:lvlJc w:val="left"/>
      <w:pPr>
        <w:ind w:left="3010" w:hanging="360"/>
      </w:pPr>
      <w:rPr>
        <w:rFonts w:ascii="Wingdings" w:hAnsi="Wingdings" w:cs="Wingdings" w:hint="default"/>
      </w:rPr>
    </w:lvl>
    <w:lvl w:ilvl="3" w:tplc="10090001" w:tentative="1">
      <w:start w:val="1"/>
      <w:numFmt w:val="bullet"/>
      <w:lvlText w:val=""/>
      <w:lvlJc w:val="left"/>
      <w:pPr>
        <w:ind w:left="3730" w:hanging="360"/>
      </w:pPr>
      <w:rPr>
        <w:rFonts w:ascii="Symbol" w:hAnsi="Symbol" w:cs="Symbol" w:hint="default"/>
      </w:rPr>
    </w:lvl>
    <w:lvl w:ilvl="4" w:tplc="10090003" w:tentative="1">
      <w:start w:val="1"/>
      <w:numFmt w:val="bullet"/>
      <w:lvlText w:val="o"/>
      <w:lvlJc w:val="left"/>
      <w:pPr>
        <w:ind w:left="4450" w:hanging="360"/>
      </w:pPr>
      <w:rPr>
        <w:rFonts w:ascii="Courier New" w:hAnsi="Courier New" w:cs="Courier New" w:hint="default"/>
      </w:rPr>
    </w:lvl>
    <w:lvl w:ilvl="5" w:tplc="10090005" w:tentative="1">
      <w:start w:val="1"/>
      <w:numFmt w:val="bullet"/>
      <w:lvlText w:val=""/>
      <w:lvlJc w:val="left"/>
      <w:pPr>
        <w:ind w:left="5170" w:hanging="360"/>
      </w:pPr>
      <w:rPr>
        <w:rFonts w:ascii="Wingdings" w:hAnsi="Wingdings" w:cs="Wingdings" w:hint="default"/>
      </w:rPr>
    </w:lvl>
    <w:lvl w:ilvl="6" w:tplc="10090001" w:tentative="1">
      <w:start w:val="1"/>
      <w:numFmt w:val="bullet"/>
      <w:lvlText w:val=""/>
      <w:lvlJc w:val="left"/>
      <w:pPr>
        <w:ind w:left="5890" w:hanging="360"/>
      </w:pPr>
      <w:rPr>
        <w:rFonts w:ascii="Symbol" w:hAnsi="Symbol" w:cs="Symbol" w:hint="default"/>
      </w:rPr>
    </w:lvl>
    <w:lvl w:ilvl="7" w:tplc="10090003" w:tentative="1">
      <w:start w:val="1"/>
      <w:numFmt w:val="bullet"/>
      <w:lvlText w:val="o"/>
      <w:lvlJc w:val="left"/>
      <w:pPr>
        <w:ind w:left="6610" w:hanging="360"/>
      </w:pPr>
      <w:rPr>
        <w:rFonts w:ascii="Courier New" w:hAnsi="Courier New" w:cs="Courier New" w:hint="default"/>
      </w:rPr>
    </w:lvl>
    <w:lvl w:ilvl="8" w:tplc="10090005" w:tentative="1">
      <w:start w:val="1"/>
      <w:numFmt w:val="bullet"/>
      <w:lvlText w:val=""/>
      <w:lvlJc w:val="left"/>
      <w:pPr>
        <w:ind w:left="7330" w:hanging="360"/>
      </w:pPr>
      <w:rPr>
        <w:rFonts w:ascii="Wingdings" w:hAnsi="Wingdings" w:cs="Wingdings" w:hint="default"/>
      </w:rPr>
    </w:lvl>
  </w:abstractNum>
  <w:abstractNum w:abstractNumId="24" w15:restartNumberingAfterBreak="0">
    <w:nsid w:val="6F781994"/>
    <w:multiLevelType w:val="hybridMultilevel"/>
    <w:tmpl w:val="63F87F6C"/>
    <w:lvl w:ilvl="0" w:tplc="76506C04">
      <w:start w:val="1"/>
      <w:numFmt w:val="bullet"/>
      <w:pStyle w:val="bulletslevel1"/>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85495"/>
    <w:multiLevelType w:val="hybridMultilevel"/>
    <w:tmpl w:val="525A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BD03F4"/>
    <w:multiLevelType w:val="hybridMultilevel"/>
    <w:tmpl w:val="CF46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DF60B2"/>
    <w:multiLevelType w:val="hybridMultilevel"/>
    <w:tmpl w:val="A4665A02"/>
    <w:lvl w:ilvl="0" w:tplc="0C881E1C">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9BE504E"/>
    <w:multiLevelType w:val="hybridMultilevel"/>
    <w:tmpl w:val="0B389E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B2763C7"/>
    <w:multiLevelType w:val="hybridMultilevel"/>
    <w:tmpl w:val="8DA45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F06502"/>
    <w:multiLevelType w:val="multilevel"/>
    <w:tmpl w:val="8A3A763C"/>
    <w:lvl w:ilvl="0">
      <w:numFmt w:val="bullet"/>
      <w:lvlText w:val="•"/>
      <w:lvlJc w:val="left"/>
      <w:pPr>
        <w:ind w:left="630" w:hanging="360"/>
      </w:pPr>
      <w:rPr>
        <w:rFonts w:hint="default"/>
        <w:lang w:val="en-GB" w:eastAsia="en-GB" w:bidi="en-GB"/>
      </w:rPr>
    </w:lvl>
    <w:lvl w:ilvl="1">
      <w:start w:val="1"/>
      <w:numFmt w:val="bullet"/>
      <w:lvlText w:val="o"/>
      <w:lvlJc w:val="left"/>
      <w:pPr>
        <w:ind w:left="1350" w:hanging="360"/>
      </w:pPr>
      <w:rPr>
        <w:rFonts w:ascii="Arial" w:eastAsia="Arial" w:hAnsi="Arial" w:cs="Arial"/>
      </w:rPr>
    </w:lvl>
    <w:lvl w:ilvl="2">
      <w:start w:val="1"/>
      <w:numFmt w:val="bullet"/>
      <w:lvlText w:val="▪"/>
      <w:lvlJc w:val="left"/>
      <w:pPr>
        <w:ind w:left="2070" w:hanging="360"/>
      </w:pPr>
      <w:rPr>
        <w:rFonts w:ascii="Arial" w:eastAsia="Arial" w:hAnsi="Arial" w:cs="Arial"/>
      </w:rPr>
    </w:lvl>
    <w:lvl w:ilvl="3">
      <w:start w:val="1"/>
      <w:numFmt w:val="bullet"/>
      <w:lvlText w:val="●"/>
      <w:lvlJc w:val="left"/>
      <w:pPr>
        <w:ind w:left="2790" w:hanging="360"/>
      </w:pPr>
      <w:rPr>
        <w:rFonts w:ascii="Arial" w:eastAsia="Arial" w:hAnsi="Arial" w:cs="Arial"/>
      </w:rPr>
    </w:lvl>
    <w:lvl w:ilvl="4">
      <w:start w:val="1"/>
      <w:numFmt w:val="bullet"/>
      <w:lvlText w:val="o"/>
      <w:lvlJc w:val="left"/>
      <w:pPr>
        <w:ind w:left="3510" w:hanging="360"/>
      </w:pPr>
      <w:rPr>
        <w:rFonts w:ascii="Arial" w:eastAsia="Arial" w:hAnsi="Arial" w:cs="Arial"/>
      </w:rPr>
    </w:lvl>
    <w:lvl w:ilvl="5">
      <w:start w:val="1"/>
      <w:numFmt w:val="bullet"/>
      <w:lvlText w:val="▪"/>
      <w:lvlJc w:val="left"/>
      <w:pPr>
        <w:ind w:left="4230" w:hanging="360"/>
      </w:pPr>
      <w:rPr>
        <w:rFonts w:ascii="Arial" w:eastAsia="Arial" w:hAnsi="Arial" w:cs="Arial"/>
      </w:rPr>
    </w:lvl>
    <w:lvl w:ilvl="6">
      <w:start w:val="1"/>
      <w:numFmt w:val="bullet"/>
      <w:lvlText w:val="●"/>
      <w:lvlJc w:val="left"/>
      <w:pPr>
        <w:ind w:left="4950" w:hanging="360"/>
      </w:pPr>
      <w:rPr>
        <w:rFonts w:ascii="Arial" w:eastAsia="Arial" w:hAnsi="Arial" w:cs="Arial"/>
      </w:rPr>
    </w:lvl>
    <w:lvl w:ilvl="7">
      <w:start w:val="1"/>
      <w:numFmt w:val="bullet"/>
      <w:lvlText w:val="o"/>
      <w:lvlJc w:val="left"/>
      <w:pPr>
        <w:ind w:left="5670" w:hanging="360"/>
      </w:pPr>
      <w:rPr>
        <w:rFonts w:ascii="Arial" w:eastAsia="Arial" w:hAnsi="Arial" w:cs="Arial"/>
      </w:rPr>
    </w:lvl>
    <w:lvl w:ilvl="8">
      <w:start w:val="1"/>
      <w:numFmt w:val="bullet"/>
      <w:lvlText w:val="▪"/>
      <w:lvlJc w:val="left"/>
      <w:pPr>
        <w:ind w:left="6390" w:hanging="360"/>
      </w:pPr>
      <w:rPr>
        <w:rFonts w:ascii="Arial" w:eastAsia="Arial" w:hAnsi="Arial" w:cs="Arial"/>
      </w:rPr>
    </w:lvl>
  </w:abstractNum>
  <w:num w:numId="1">
    <w:abstractNumId w:val="7"/>
  </w:num>
  <w:num w:numId="2">
    <w:abstractNumId w:val="2"/>
  </w:num>
  <w:num w:numId="3">
    <w:abstractNumId w:val="24"/>
  </w:num>
  <w:num w:numId="4">
    <w:abstractNumId w:val="11"/>
  </w:num>
  <w:num w:numId="5">
    <w:abstractNumId w:val="5"/>
  </w:num>
  <w:num w:numId="6">
    <w:abstractNumId w:val="16"/>
  </w:num>
  <w:num w:numId="7">
    <w:abstractNumId w:val="10"/>
  </w:num>
  <w:num w:numId="8">
    <w:abstractNumId w:val="12"/>
  </w:num>
  <w:num w:numId="9">
    <w:abstractNumId w:val="17"/>
  </w:num>
  <w:num w:numId="10">
    <w:abstractNumId w:val="8"/>
  </w:num>
  <w:num w:numId="11">
    <w:abstractNumId w:val="4"/>
  </w:num>
  <w:num w:numId="12">
    <w:abstractNumId w:val="30"/>
  </w:num>
  <w:num w:numId="13">
    <w:abstractNumId w:val="23"/>
  </w:num>
  <w:num w:numId="14">
    <w:abstractNumId w:val="0"/>
  </w:num>
  <w:num w:numId="15">
    <w:abstractNumId w:val="3"/>
  </w:num>
  <w:num w:numId="16">
    <w:abstractNumId w:val="6"/>
  </w:num>
  <w:num w:numId="17">
    <w:abstractNumId w:val="28"/>
  </w:num>
  <w:num w:numId="18">
    <w:abstractNumId w:val="21"/>
  </w:num>
  <w:num w:numId="19">
    <w:abstractNumId w:val="9"/>
  </w:num>
  <w:num w:numId="20">
    <w:abstractNumId w:val="15"/>
  </w:num>
  <w:num w:numId="21">
    <w:abstractNumId w:val="13"/>
  </w:num>
  <w:num w:numId="22">
    <w:abstractNumId w:val="22"/>
  </w:num>
  <w:num w:numId="23">
    <w:abstractNumId w:val="14"/>
  </w:num>
  <w:num w:numId="24">
    <w:abstractNumId w:val="1"/>
  </w:num>
  <w:num w:numId="25">
    <w:abstractNumId w:val="20"/>
  </w:num>
  <w:num w:numId="26">
    <w:abstractNumId w:val="29"/>
  </w:num>
  <w:num w:numId="27">
    <w:abstractNumId w:val="19"/>
  </w:num>
  <w:num w:numId="28">
    <w:abstractNumId w:val="26"/>
  </w:num>
  <w:num w:numId="29">
    <w:abstractNumId w:val="25"/>
  </w:num>
  <w:num w:numId="30">
    <w:abstractNumId w:val="27"/>
  </w:num>
  <w:num w:numId="31">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115"/>
    <w:rsid w:val="00000A52"/>
    <w:rsid w:val="00002156"/>
    <w:rsid w:val="00002C47"/>
    <w:rsid w:val="000060A1"/>
    <w:rsid w:val="000071A9"/>
    <w:rsid w:val="0000762F"/>
    <w:rsid w:val="00010F82"/>
    <w:rsid w:val="00011A8E"/>
    <w:rsid w:val="00012FBB"/>
    <w:rsid w:val="000138A2"/>
    <w:rsid w:val="00020881"/>
    <w:rsid w:val="00023C3E"/>
    <w:rsid w:val="000254D8"/>
    <w:rsid w:val="00027B7F"/>
    <w:rsid w:val="00027E6B"/>
    <w:rsid w:val="00030A35"/>
    <w:rsid w:val="000315D3"/>
    <w:rsid w:val="000332CC"/>
    <w:rsid w:val="000336F9"/>
    <w:rsid w:val="00035EA6"/>
    <w:rsid w:val="00036824"/>
    <w:rsid w:val="00036EF7"/>
    <w:rsid w:val="00037868"/>
    <w:rsid w:val="0004095C"/>
    <w:rsid w:val="00040A2D"/>
    <w:rsid w:val="00041CB4"/>
    <w:rsid w:val="000435B9"/>
    <w:rsid w:val="000437B4"/>
    <w:rsid w:val="00052A22"/>
    <w:rsid w:val="00055611"/>
    <w:rsid w:val="00055A79"/>
    <w:rsid w:val="00060D9A"/>
    <w:rsid w:val="00061F5C"/>
    <w:rsid w:val="00062142"/>
    <w:rsid w:val="00062158"/>
    <w:rsid w:val="000627C9"/>
    <w:rsid w:val="00062C06"/>
    <w:rsid w:val="00064E8D"/>
    <w:rsid w:val="00065B10"/>
    <w:rsid w:val="00070A99"/>
    <w:rsid w:val="000751FC"/>
    <w:rsid w:val="00077FAB"/>
    <w:rsid w:val="0008046B"/>
    <w:rsid w:val="00080BF7"/>
    <w:rsid w:val="000845E4"/>
    <w:rsid w:val="00085695"/>
    <w:rsid w:val="00085D03"/>
    <w:rsid w:val="0008653E"/>
    <w:rsid w:val="00086E40"/>
    <w:rsid w:val="00090E7C"/>
    <w:rsid w:val="00093212"/>
    <w:rsid w:val="000940B9"/>
    <w:rsid w:val="00094A5C"/>
    <w:rsid w:val="00095E19"/>
    <w:rsid w:val="000A02D6"/>
    <w:rsid w:val="000A6338"/>
    <w:rsid w:val="000A6587"/>
    <w:rsid w:val="000B27D5"/>
    <w:rsid w:val="000B5923"/>
    <w:rsid w:val="000B639E"/>
    <w:rsid w:val="000B715B"/>
    <w:rsid w:val="000B768C"/>
    <w:rsid w:val="000B7F70"/>
    <w:rsid w:val="000C406E"/>
    <w:rsid w:val="000C5127"/>
    <w:rsid w:val="000C6ACE"/>
    <w:rsid w:val="000D2A35"/>
    <w:rsid w:val="000E2061"/>
    <w:rsid w:val="000E4587"/>
    <w:rsid w:val="000E756A"/>
    <w:rsid w:val="000E7583"/>
    <w:rsid w:val="000E7E81"/>
    <w:rsid w:val="000F16FB"/>
    <w:rsid w:val="000F20A4"/>
    <w:rsid w:val="000F3A9B"/>
    <w:rsid w:val="00100F56"/>
    <w:rsid w:val="001022EF"/>
    <w:rsid w:val="0010663A"/>
    <w:rsid w:val="00107EF6"/>
    <w:rsid w:val="0011161A"/>
    <w:rsid w:val="00114E15"/>
    <w:rsid w:val="0011524B"/>
    <w:rsid w:val="00122106"/>
    <w:rsid w:val="00122E39"/>
    <w:rsid w:val="00123406"/>
    <w:rsid w:val="00126DB9"/>
    <w:rsid w:val="00130444"/>
    <w:rsid w:val="00132E97"/>
    <w:rsid w:val="00133B46"/>
    <w:rsid w:val="00133D26"/>
    <w:rsid w:val="00134F1F"/>
    <w:rsid w:val="001364BB"/>
    <w:rsid w:val="00141917"/>
    <w:rsid w:val="0014299A"/>
    <w:rsid w:val="00144D4F"/>
    <w:rsid w:val="00145854"/>
    <w:rsid w:val="0014616D"/>
    <w:rsid w:val="001560D4"/>
    <w:rsid w:val="00157802"/>
    <w:rsid w:val="001579FD"/>
    <w:rsid w:val="0016060B"/>
    <w:rsid w:val="00161185"/>
    <w:rsid w:val="001615EB"/>
    <w:rsid w:val="001645BE"/>
    <w:rsid w:val="00164756"/>
    <w:rsid w:val="00166062"/>
    <w:rsid w:val="00167EC2"/>
    <w:rsid w:val="0017471B"/>
    <w:rsid w:val="001755F9"/>
    <w:rsid w:val="00177F1F"/>
    <w:rsid w:val="00180D8C"/>
    <w:rsid w:val="00181116"/>
    <w:rsid w:val="0018144D"/>
    <w:rsid w:val="00181558"/>
    <w:rsid w:val="00192EB2"/>
    <w:rsid w:val="00193730"/>
    <w:rsid w:val="00195AF3"/>
    <w:rsid w:val="00196756"/>
    <w:rsid w:val="00197035"/>
    <w:rsid w:val="001A4855"/>
    <w:rsid w:val="001A651E"/>
    <w:rsid w:val="001A782C"/>
    <w:rsid w:val="001B02F5"/>
    <w:rsid w:val="001B1A1B"/>
    <w:rsid w:val="001B3A31"/>
    <w:rsid w:val="001B3C5C"/>
    <w:rsid w:val="001B5615"/>
    <w:rsid w:val="001B6612"/>
    <w:rsid w:val="001C064C"/>
    <w:rsid w:val="001C1100"/>
    <w:rsid w:val="001C1A5C"/>
    <w:rsid w:val="001C55E2"/>
    <w:rsid w:val="001C6215"/>
    <w:rsid w:val="001C6A41"/>
    <w:rsid w:val="001D193E"/>
    <w:rsid w:val="001D1E2E"/>
    <w:rsid w:val="001D26BB"/>
    <w:rsid w:val="001D2D5D"/>
    <w:rsid w:val="001D3FA2"/>
    <w:rsid w:val="001D5A6C"/>
    <w:rsid w:val="001D65B4"/>
    <w:rsid w:val="001D6A1F"/>
    <w:rsid w:val="001D70D2"/>
    <w:rsid w:val="001E23A9"/>
    <w:rsid w:val="001E3888"/>
    <w:rsid w:val="001E3CED"/>
    <w:rsid w:val="001E49C9"/>
    <w:rsid w:val="001E503D"/>
    <w:rsid w:val="001E5A27"/>
    <w:rsid w:val="001E5BBA"/>
    <w:rsid w:val="001E5D8A"/>
    <w:rsid w:val="001E65F3"/>
    <w:rsid w:val="001E6EA0"/>
    <w:rsid w:val="001F03B6"/>
    <w:rsid w:val="001F0CB7"/>
    <w:rsid w:val="001F1A2A"/>
    <w:rsid w:val="001F24AD"/>
    <w:rsid w:val="001F7B63"/>
    <w:rsid w:val="00203109"/>
    <w:rsid w:val="002035FE"/>
    <w:rsid w:val="002042EC"/>
    <w:rsid w:val="00205A99"/>
    <w:rsid w:val="0021053E"/>
    <w:rsid w:val="00210602"/>
    <w:rsid w:val="00210F7F"/>
    <w:rsid w:val="002111F6"/>
    <w:rsid w:val="002143F4"/>
    <w:rsid w:val="002149E4"/>
    <w:rsid w:val="002150E4"/>
    <w:rsid w:val="00215C9E"/>
    <w:rsid w:val="00215CA5"/>
    <w:rsid w:val="002175EA"/>
    <w:rsid w:val="00220224"/>
    <w:rsid w:val="0022118F"/>
    <w:rsid w:val="00221D2D"/>
    <w:rsid w:val="00223050"/>
    <w:rsid w:val="0022689F"/>
    <w:rsid w:val="00227543"/>
    <w:rsid w:val="002330FF"/>
    <w:rsid w:val="00235552"/>
    <w:rsid w:val="0023749A"/>
    <w:rsid w:val="00240A6D"/>
    <w:rsid w:val="00240CDC"/>
    <w:rsid w:val="00241133"/>
    <w:rsid w:val="002429D9"/>
    <w:rsid w:val="00245D2A"/>
    <w:rsid w:val="00246CE0"/>
    <w:rsid w:val="0024727F"/>
    <w:rsid w:val="0024795A"/>
    <w:rsid w:val="00253784"/>
    <w:rsid w:val="0025402E"/>
    <w:rsid w:val="0025426A"/>
    <w:rsid w:val="00255AF1"/>
    <w:rsid w:val="00256845"/>
    <w:rsid w:val="00257444"/>
    <w:rsid w:val="00257BE7"/>
    <w:rsid w:val="00260A23"/>
    <w:rsid w:val="00262269"/>
    <w:rsid w:val="002627DD"/>
    <w:rsid w:val="00262FF6"/>
    <w:rsid w:val="00265A24"/>
    <w:rsid w:val="00270E4E"/>
    <w:rsid w:val="00271ED2"/>
    <w:rsid w:val="00272A55"/>
    <w:rsid w:val="0027493D"/>
    <w:rsid w:val="00274F70"/>
    <w:rsid w:val="00275317"/>
    <w:rsid w:val="00275714"/>
    <w:rsid w:val="00277B30"/>
    <w:rsid w:val="0028048D"/>
    <w:rsid w:val="002804DA"/>
    <w:rsid w:val="00280926"/>
    <w:rsid w:val="00281B2A"/>
    <w:rsid w:val="002837A0"/>
    <w:rsid w:val="00284600"/>
    <w:rsid w:val="002854F3"/>
    <w:rsid w:val="00286538"/>
    <w:rsid w:val="00287AA8"/>
    <w:rsid w:val="00295057"/>
    <w:rsid w:val="00296AC8"/>
    <w:rsid w:val="00296C71"/>
    <w:rsid w:val="00296CF6"/>
    <w:rsid w:val="002A1845"/>
    <w:rsid w:val="002A3279"/>
    <w:rsid w:val="002A4C82"/>
    <w:rsid w:val="002A6135"/>
    <w:rsid w:val="002A6D22"/>
    <w:rsid w:val="002B09F7"/>
    <w:rsid w:val="002B0FBD"/>
    <w:rsid w:val="002B24B2"/>
    <w:rsid w:val="002B2A45"/>
    <w:rsid w:val="002B4429"/>
    <w:rsid w:val="002B5F32"/>
    <w:rsid w:val="002B7600"/>
    <w:rsid w:val="002C1147"/>
    <w:rsid w:val="002C141B"/>
    <w:rsid w:val="002C1500"/>
    <w:rsid w:val="002C6676"/>
    <w:rsid w:val="002D0EA5"/>
    <w:rsid w:val="002D146E"/>
    <w:rsid w:val="002D31A5"/>
    <w:rsid w:val="002D5031"/>
    <w:rsid w:val="002D633A"/>
    <w:rsid w:val="002E15AE"/>
    <w:rsid w:val="002E1FB7"/>
    <w:rsid w:val="002E4AC6"/>
    <w:rsid w:val="002E51A1"/>
    <w:rsid w:val="002E53E5"/>
    <w:rsid w:val="002E6010"/>
    <w:rsid w:val="002F1435"/>
    <w:rsid w:val="002F2CDE"/>
    <w:rsid w:val="002F319D"/>
    <w:rsid w:val="002F5BF7"/>
    <w:rsid w:val="00302623"/>
    <w:rsid w:val="003038EA"/>
    <w:rsid w:val="00305203"/>
    <w:rsid w:val="0030557F"/>
    <w:rsid w:val="003062B1"/>
    <w:rsid w:val="00306A43"/>
    <w:rsid w:val="00307B0D"/>
    <w:rsid w:val="003121B0"/>
    <w:rsid w:val="00314004"/>
    <w:rsid w:val="003141AF"/>
    <w:rsid w:val="003165F9"/>
    <w:rsid w:val="00317633"/>
    <w:rsid w:val="003178DC"/>
    <w:rsid w:val="00321A1B"/>
    <w:rsid w:val="00324CE2"/>
    <w:rsid w:val="00325AEA"/>
    <w:rsid w:val="00325FD5"/>
    <w:rsid w:val="00326A37"/>
    <w:rsid w:val="003278C5"/>
    <w:rsid w:val="003303A2"/>
    <w:rsid w:val="00330B95"/>
    <w:rsid w:val="003310C4"/>
    <w:rsid w:val="003320DB"/>
    <w:rsid w:val="0033386F"/>
    <w:rsid w:val="003349AB"/>
    <w:rsid w:val="00334C1A"/>
    <w:rsid w:val="00335287"/>
    <w:rsid w:val="003370E0"/>
    <w:rsid w:val="00341959"/>
    <w:rsid w:val="00342225"/>
    <w:rsid w:val="00342837"/>
    <w:rsid w:val="00347697"/>
    <w:rsid w:val="003501C1"/>
    <w:rsid w:val="00352FDE"/>
    <w:rsid w:val="0035315D"/>
    <w:rsid w:val="00354550"/>
    <w:rsid w:val="00354A1C"/>
    <w:rsid w:val="00355A09"/>
    <w:rsid w:val="00357DB7"/>
    <w:rsid w:val="003605EE"/>
    <w:rsid w:val="00360ACB"/>
    <w:rsid w:val="00360AF1"/>
    <w:rsid w:val="00360F20"/>
    <w:rsid w:val="0036234B"/>
    <w:rsid w:val="00362874"/>
    <w:rsid w:val="003628D9"/>
    <w:rsid w:val="00363358"/>
    <w:rsid w:val="003635CE"/>
    <w:rsid w:val="00365C6A"/>
    <w:rsid w:val="003668E6"/>
    <w:rsid w:val="00367C74"/>
    <w:rsid w:val="003720CF"/>
    <w:rsid w:val="003800A0"/>
    <w:rsid w:val="00382A01"/>
    <w:rsid w:val="0038412C"/>
    <w:rsid w:val="00384192"/>
    <w:rsid w:val="00390CF6"/>
    <w:rsid w:val="00391433"/>
    <w:rsid w:val="003918B6"/>
    <w:rsid w:val="00391B9F"/>
    <w:rsid w:val="00393297"/>
    <w:rsid w:val="0039446F"/>
    <w:rsid w:val="003A1338"/>
    <w:rsid w:val="003A1D34"/>
    <w:rsid w:val="003A3D72"/>
    <w:rsid w:val="003A4481"/>
    <w:rsid w:val="003A45D6"/>
    <w:rsid w:val="003A4C41"/>
    <w:rsid w:val="003A5B95"/>
    <w:rsid w:val="003A62EC"/>
    <w:rsid w:val="003A6DA1"/>
    <w:rsid w:val="003A7666"/>
    <w:rsid w:val="003A7D01"/>
    <w:rsid w:val="003A7D86"/>
    <w:rsid w:val="003A7EB4"/>
    <w:rsid w:val="003B1FD0"/>
    <w:rsid w:val="003B2960"/>
    <w:rsid w:val="003B5315"/>
    <w:rsid w:val="003B621B"/>
    <w:rsid w:val="003B6953"/>
    <w:rsid w:val="003B7686"/>
    <w:rsid w:val="003B7A23"/>
    <w:rsid w:val="003C29F0"/>
    <w:rsid w:val="003C2E01"/>
    <w:rsid w:val="003C3671"/>
    <w:rsid w:val="003C36F2"/>
    <w:rsid w:val="003C41D9"/>
    <w:rsid w:val="003C75A7"/>
    <w:rsid w:val="003C7DE4"/>
    <w:rsid w:val="003D0403"/>
    <w:rsid w:val="003D2A28"/>
    <w:rsid w:val="003D2C1E"/>
    <w:rsid w:val="003D49AD"/>
    <w:rsid w:val="003D4C41"/>
    <w:rsid w:val="003D4F5C"/>
    <w:rsid w:val="003D63AC"/>
    <w:rsid w:val="003D641B"/>
    <w:rsid w:val="003E07CD"/>
    <w:rsid w:val="003E1D88"/>
    <w:rsid w:val="003E1EEF"/>
    <w:rsid w:val="003E5CD3"/>
    <w:rsid w:val="003F1259"/>
    <w:rsid w:val="003F3929"/>
    <w:rsid w:val="003F41B5"/>
    <w:rsid w:val="00400BB9"/>
    <w:rsid w:val="00402FAD"/>
    <w:rsid w:val="0041138D"/>
    <w:rsid w:val="0041213D"/>
    <w:rsid w:val="0041717A"/>
    <w:rsid w:val="0041788A"/>
    <w:rsid w:val="00417AA2"/>
    <w:rsid w:val="0042193C"/>
    <w:rsid w:val="00421A5F"/>
    <w:rsid w:val="00421AB0"/>
    <w:rsid w:val="00422C7D"/>
    <w:rsid w:val="004242B0"/>
    <w:rsid w:val="004243A9"/>
    <w:rsid w:val="004243E5"/>
    <w:rsid w:val="00424660"/>
    <w:rsid w:val="00427815"/>
    <w:rsid w:val="00430049"/>
    <w:rsid w:val="0043005A"/>
    <w:rsid w:val="00432796"/>
    <w:rsid w:val="00432C23"/>
    <w:rsid w:val="00433611"/>
    <w:rsid w:val="00434886"/>
    <w:rsid w:val="004416A8"/>
    <w:rsid w:val="0044375F"/>
    <w:rsid w:val="00447959"/>
    <w:rsid w:val="00447CD4"/>
    <w:rsid w:val="00451104"/>
    <w:rsid w:val="00453039"/>
    <w:rsid w:val="00453254"/>
    <w:rsid w:val="00453509"/>
    <w:rsid w:val="0045365F"/>
    <w:rsid w:val="0045393C"/>
    <w:rsid w:val="0045476A"/>
    <w:rsid w:val="00454A3E"/>
    <w:rsid w:val="00454F11"/>
    <w:rsid w:val="00455E07"/>
    <w:rsid w:val="00457659"/>
    <w:rsid w:val="0046343F"/>
    <w:rsid w:val="00464FE8"/>
    <w:rsid w:val="004656F7"/>
    <w:rsid w:val="0047237F"/>
    <w:rsid w:val="00474A22"/>
    <w:rsid w:val="00475B80"/>
    <w:rsid w:val="00476E49"/>
    <w:rsid w:val="004801C2"/>
    <w:rsid w:val="00480481"/>
    <w:rsid w:val="0048049D"/>
    <w:rsid w:val="00481686"/>
    <w:rsid w:val="004830BD"/>
    <w:rsid w:val="004868E1"/>
    <w:rsid w:val="00486A7E"/>
    <w:rsid w:val="00486CD9"/>
    <w:rsid w:val="0048791F"/>
    <w:rsid w:val="004919BD"/>
    <w:rsid w:val="00496404"/>
    <w:rsid w:val="004A0A10"/>
    <w:rsid w:val="004A1B45"/>
    <w:rsid w:val="004A2AAA"/>
    <w:rsid w:val="004A682D"/>
    <w:rsid w:val="004B0BD6"/>
    <w:rsid w:val="004B1D56"/>
    <w:rsid w:val="004B2058"/>
    <w:rsid w:val="004B2832"/>
    <w:rsid w:val="004B4A86"/>
    <w:rsid w:val="004B5D58"/>
    <w:rsid w:val="004B6545"/>
    <w:rsid w:val="004D1D21"/>
    <w:rsid w:val="004D1F53"/>
    <w:rsid w:val="004D251B"/>
    <w:rsid w:val="004D3FC1"/>
    <w:rsid w:val="004D4A8F"/>
    <w:rsid w:val="004D4CDC"/>
    <w:rsid w:val="004D5E67"/>
    <w:rsid w:val="004E4024"/>
    <w:rsid w:val="004E6C86"/>
    <w:rsid w:val="004F2E06"/>
    <w:rsid w:val="004F313A"/>
    <w:rsid w:val="004F4EE4"/>
    <w:rsid w:val="004F7159"/>
    <w:rsid w:val="004F71B4"/>
    <w:rsid w:val="00500BD6"/>
    <w:rsid w:val="00502366"/>
    <w:rsid w:val="005024AF"/>
    <w:rsid w:val="005032A9"/>
    <w:rsid w:val="00504EA4"/>
    <w:rsid w:val="0050699E"/>
    <w:rsid w:val="0050767B"/>
    <w:rsid w:val="00507B3E"/>
    <w:rsid w:val="00507E90"/>
    <w:rsid w:val="0051356D"/>
    <w:rsid w:val="00514B0B"/>
    <w:rsid w:val="00515CB7"/>
    <w:rsid w:val="00517C42"/>
    <w:rsid w:val="00517DE6"/>
    <w:rsid w:val="00517FDD"/>
    <w:rsid w:val="00520A75"/>
    <w:rsid w:val="00523EDF"/>
    <w:rsid w:val="005250BD"/>
    <w:rsid w:val="00525265"/>
    <w:rsid w:val="005252DB"/>
    <w:rsid w:val="005270D6"/>
    <w:rsid w:val="00530A2C"/>
    <w:rsid w:val="005350FE"/>
    <w:rsid w:val="005353EF"/>
    <w:rsid w:val="00535A28"/>
    <w:rsid w:val="005363B2"/>
    <w:rsid w:val="00536863"/>
    <w:rsid w:val="005415E0"/>
    <w:rsid w:val="00543C4D"/>
    <w:rsid w:val="00544171"/>
    <w:rsid w:val="0054428E"/>
    <w:rsid w:val="0054469A"/>
    <w:rsid w:val="00545977"/>
    <w:rsid w:val="00547E1B"/>
    <w:rsid w:val="0055001D"/>
    <w:rsid w:val="00552044"/>
    <w:rsid w:val="0055256C"/>
    <w:rsid w:val="00555867"/>
    <w:rsid w:val="00555E18"/>
    <w:rsid w:val="00556EB9"/>
    <w:rsid w:val="00557D52"/>
    <w:rsid w:val="00560AF4"/>
    <w:rsid w:val="0056163F"/>
    <w:rsid w:val="005619D8"/>
    <w:rsid w:val="0056300F"/>
    <w:rsid w:val="00563663"/>
    <w:rsid w:val="0056398F"/>
    <w:rsid w:val="005644FA"/>
    <w:rsid w:val="00566A5E"/>
    <w:rsid w:val="005674A9"/>
    <w:rsid w:val="00567B87"/>
    <w:rsid w:val="005705C1"/>
    <w:rsid w:val="00576296"/>
    <w:rsid w:val="00576E7A"/>
    <w:rsid w:val="00577D8C"/>
    <w:rsid w:val="00584EB7"/>
    <w:rsid w:val="005879CD"/>
    <w:rsid w:val="005912FD"/>
    <w:rsid w:val="0059232A"/>
    <w:rsid w:val="00593429"/>
    <w:rsid w:val="00594E14"/>
    <w:rsid w:val="00594E30"/>
    <w:rsid w:val="005A0671"/>
    <w:rsid w:val="005A4C95"/>
    <w:rsid w:val="005B081F"/>
    <w:rsid w:val="005B19FE"/>
    <w:rsid w:val="005B2EEE"/>
    <w:rsid w:val="005B4BD3"/>
    <w:rsid w:val="005C2B3D"/>
    <w:rsid w:val="005C5EC0"/>
    <w:rsid w:val="005C6068"/>
    <w:rsid w:val="005D402C"/>
    <w:rsid w:val="005D5045"/>
    <w:rsid w:val="005D6364"/>
    <w:rsid w:val="005D6445"/>
    <w:rsid w:val="005E0E8C"/>
    <w:rsid w:val="005E12A4"/>
    <w:rsid w:val="005E2B47"/>
    <w:rsid w:val="005E3E25"/>
    <w:rsid w:val="005E4403"/>
    <w:rsid w:val="005E5307"/>
    <w:rsid w:val="005F136D"/>
    <w:rsid w:val="005F245F"/>
    <w:rsid w:val="005F5A1F"/>
    <w:rsid w:val="005F5E4E"/>
    <w:rsid w:val="005F6835"/>
    <w:rsid w:val="005F763D"/>
    <w:rsid w:val="006015E8"/>
    <w:rsid w:val="0061203C"/>
    <w:rsid w:val="006125F7"/>
    <w:rsid w:val="00613B59"/>
    <w:rsid w:val="00614517"/>
    <w:rsid w:val="00621D9F"/>
    <w:rsid w:val="0062389B"/>
    <w:rsid w:val="00624758"/>
    <w:rsid w:val="00624A54"/>
    <w:rsid w:val="00625B5A"/>
    <w:rsid w:val="00627DF5"/>
    <w:rsid w:val="0063004C"/>
    <w:rsid w:val="00630562"/>
    <w:rsid w:val="0063172B"/>
    <w:rsid w:val="00631C68"/>
    <w:rsid w:val="00636CC1"/>
    <w:rsid w:val="00641AED"/>
    <w:rsid w:val="00641B6C"/>
    <w:rsid w:val="00646E02"/>
    <w:rsid w:val="00647582"/>
    <w:rsid w:val="00650C76"/>
    <w:rsid w:val="00651FA9"/>
    <w:rsid w:val="0066054F"/>
    <w:rsid w:val="006615D2"/>
    <w:rsid w:val="00662214"/>
    <w:rsid w:val="0066379E"/>
    <w:rsid w:val="00665EFA"/>
    <w:rsid w:val="00666A6B"/>
    <w:rsid w:val="00674A87"/>
    <w:rsid w:val="00675594"/>
    <w:rsid w:val="00677505"/>
    <w:rsid w:val="00684933"/>
    <w:rsid w:val="00685E05"/>
    <w:rsid w:val="00687C22"/>
    <w:rsid w:val="00694659"/>
    <w:rsid w:val="00695DD5"/>
    <w:rsid w:val="00697CAF"/>
    <w:rsid w:val="006A0371"/>
    <w:rsid w:val="006A2ADD"/>
    <w:rsid w:val="006A429A"/>
    <w:rsid w:val="006A5260"/>
    <w:rsid w:val="006A7095"/>
    <w:rsid w:val="006A7906"/>
    <w:rsid w:val="006B2F57"/>
    <w:rsid w:val="006B319D"/>
    <w:rsid w:val="006C0AFA"/>
    <w:rsid w:val="006C2CDB"/>
    <w:rsid w:val="006C5CCF"/>
    <w:rsid w:val="006C6476"/>
    <w:rsid w:val="006D2514"/>
    <w:rsid w:val="006D2BA6"/>
    <w:rsid w:val="006D3C64"/>
    <w:rsid w:val="006D3EEE"/>
    <w:rsid w:val="006D782E"/>
    <w:rsid w:val="006E189B"/>
    <w:rsid w:val="006E25AB"/>
    <w:rsid w:val="006E3423"/>
    <w:rsid w:val="006E420A"/>
    <w:rsid w:val="006E4642"/>
    <w:rsid w:val="006E4FFF"/>
    <w:rsid w:val="006E576F"/>
    <w:rsid w:val="006F27F4"/>
    <w:rsid w:val="006F28CD"/>
    <w:rsid w:val="006F2C90"/>
    <w:rsid w:val="006F4DBD"/>
    <w:rsid w:val="006F5A21"/>
    <w:rsid w:val="006F6021"/>
    <w:rsid w:val="006F608F"/>
    <w:rsid w:val="00700983"/>
    <w:rsid w:val="0070282F"/>
    <w:rsid w:val="007047FE"/>
    <w:rsid w:val="00705E20"/>
    <w:rsid w:val="007070F0"/>
    <w:rsid w:val="00707D58"/>
    <w:rsid w:val="00710545"/>
    <w:rsid w:val="00710FC3"/>
    <w:rsid w:val="00713D9E"/>
    <w:rsid w:val="00714000"/>
    <w:rsid w:val="00716268"/>
    <w:rsid w:val="007169EE"/>
    <w:rsid w:val="00717027"/>
    <w:rsid w:val="007205A0"/>
    <w:rsid w:val="00720BF1"/>
    <w:rsid w:val="0072753B"/>
    <w:rsid w:val="00736D7C"/>
    <w:rsid w:val="007401DD"/>
    <w:rsid w:val="00741B0A"/>
    <w:rsid w:val="00746126"/>
    <w:rsid w:val="00746869"/>
    <w:rsid w:val="00753571"/>
    <w:rsid w:val="00760633"/>
    <w:rsid w:val="007625C7"/>
    <w:rsid w:val="00763E8F"/>
    <w:rsid w:val="00770BD4"/>
    <w:rsid w:val="007715E3"/>
    <w:rsid w:val="00774A16"/>
    <w:rsid w:val="00775B0F"/>
    <w:rsid w:val="0078072B"/>
    <w:rsid w:val="00782DA0"/>
    <w:rsid w:val="0078548A"/>
    <w:rsid w:val="00786E70"/>
    <w:rsid w:val="00791069"/>
    <w:rsid w:val="007910A2"/>
    <w:rsid w:val="00792170"/>
    <w:rsid w:val="007930FB"/>
    <w:rsid w:val="00793DCD"/>
    <w:rsid w:val="00794DF0"/>
    <w:rsid w:val="0079718B"/>
    <w:rsid w:val="007A1E25"/>
    <w:rsid w:val="007A5B73"/>
    <w:rsid w:val="007A73FF"/>
    <w:rsid w:val="007B17FC"/>
    <w:rsid w:val="007B3A36"/>
    <w:rsid w:val="007B61DC"/>
    <w:rsid w:val="007C0E6C"/>
    <w:rsid w:val="007C2BD3"/>
    <w:rsid w:val="007C5637"/>
    <w:rsid w:val="007C6396"/>
    <w:rsid w:val="007C6565"/>
    <w:rsid w:val="007D00D1"/>
    <w:rsid w:val="007D2895"/>
    <w:rsid w:val="007D3404"/>
    <w:rsid w:val="007D5465"/>
    <w:rsid w:val="007D58DD"/>
    <w:rsid w:val="007D5C73"/>
    <w:rsid w:val="007D700B"/>
    <w:rsid w:val="007E07E6"/>
    <w:rsid w:val="007E1B4B"/>
    <w:rsid w:val="007E62E5"/>
    <w:rsid w:val="007F206E"/>
    <w:rsid w:val="007F6578"/>
    <w:rsid w:val="007F787E"/>
    <w:rsid w:val="008004F0"/>
    <w:rsid w:val="008047DE"/>
    <w:rsid w:val="00804E77"/>
    <w:rsid w:val="008066BA"/>
    <w:rsid w:val="008066C8"/>
    <w:rsid w:val="0081184A"/>
    <w:rsid w:val="00814CE7"/>
    <w:rsid w:val="0081526A"/>
    <w:rsid w:val="00815F24"/>
    <w:rsid w:val="00816996"/>
    <w:rsid w:val="008201D9"/>
    <w:rsid w:val="00822F7F"/>
    <w:rsid w:val="00827115"/>
    <w:rsid w:val="008305D1"/>
    <w:rsid w:val="008315E2"/>
    <w:rsid w:val="00831BA0"/>
    <w:rsid w:val="0083248C"/>
    <w:rsid w:val="0083514A"/>
    <w:rsid w:val="008355EE"/>
    <w:rsid w:val="0083570F"/>
    <w:rsid w:val="00837E74"/>
    <w:rsid w:val="0084124A"/>
    <w:rsid w:val="0084399D"/>
    <w:rsid w:val="00843EFD"/>
    <w:rsid w:val="00844389"/>
    <w:rsid w:val="008471F3"/>
    <w:rsid w:val="00850D50"/>
    <w:rsid w:val="00853284"/>
    <w:rsid w:val="00853C76"/>
    <w:rsid w:val="00854364"/>
    <w:rsid w:val="008551D8"/>
    <w:rsid w:val="00855745"/>
    <w:rsid w:val="008572C0"/>
    <w:rsid w:val="00857B06"/>
    <w:rsid w:val="00857E61"/>
    <w:rsid w:val="00860065"/>
    <w:rsid w:val="008605A7"/>
    <w:rsid w:val="00861392"/>
    <w:rsid w:val="0086139A"/>
    <w:rsid w:val="00863575"/>
    <w:rsid w:val="00863922"/>
    <w:rsid w:val="00864A86"/>
    <w:rsid w:val="00864E11"/>
    <w:rsid w:val="008659B6"/>
    <w:rsid w:val="0086756D"/>
    <w:rsid w:val="00871233"/>
    <w:rsid w:val="00871D2D"/>
    <w:rsid w:val="00874D7F"/>
    <w:rsid w:val="008759C0"/>
    <w:rsid w:val="008763E5"/>
    <w:rsid w:val="00880ECA"/>
    <w:rsid w:val="00881D78"/>
    <w:rsid w:val="00881DF1"/>
    <w:rsid w:val="00886213"/>
    <w:rsid w:val="00887709"/>
    <w:rsid w:val="00887E9D"/>
    <w:rsid w:val="00892546"/>
    <w:rsid w:val="00894199"/>
    <w:rsid w:val="008948E6"/>
    <w:rsid w:val="008966D5"/>
    <w:rsid w:val="008968C1"/>
    <w:rsid w:val="00897D29"/>
    <w:rsid w:val="008A2B1A"/>
    <w:rsid w:val="008A3F4F"/>
    <w:rsid w:val="008A5379"/>
    <w:rsid w:val="008A5E3A"/>
    <w:rsid w:val="008B10A4"/>
    <w:rsid w:val="008B2518"/>
    <w:rsid w:val="008B29D4"/>
    <w:rsid w:val="008B29E1"/>
    <w:rsid w:val="008B3F71"/>
    <w:rsid w:val="008B5C7D"/>
    <w:rsid w:val="008C0108"/>
    <w:rsid w:val="008C0985"/>
    <w:rsid w:val="008C2CD8"/>
    <w:rsid w:val="008C677C"/>
    <w:rsid w:val="008D199C"/>
    <w:rsid w:val="008D5D0A"/>
    <w:rsid w:val="008E10F4"/>
    <w:rsid w:val="008E1E4F"/>
    <w:rsid w:val="008E2F96"/>
    <w:rsid w:val="008E3BD7"/>
    <w:rsid w:val="008E3DE6"/>
    <w:rsid w:val="008E4E76"/>
    <w:rsid w:val="008E5081"/>
    <w:rsid w:val="008E517E"/>
    <w:rsid w:val="008E7C7D"/>
    <w:rsid w:val="008F023F"/>
    <w:rsid w:val="008F0D27"/>
    <w:rsid w:val="008F1DE5"/>
    <w:rsid w:val="008F3A0B"/>
    <w:rsid w:val="008F406C"/>
    <w:rsid w:val="008F44A4"/>
    <w:rsid w:val="008F46F7"/>
    <w:rsid w:val="008F4A05"/>
    <w:rsid w:val="008F5B30"/>
    <w:rsid w:val="008F62F6"/>
    <w:rsid w:val="009010C8"/>
    <w:rsid w:val="00902485"/>
    <w:rsid w:val="0090431E"/>
    <w:rsid w:val="00907A4A"/>
    <w:rsid w:val="00907FFE"/>
    <w:rsid w:val="00913B77"/>
    <w:rsid w:val="00914F83"/>
    <w:rsid w:val="009168C1"/>
    <w:rsid w:val="00917134"/>
    <w:rsid w:val="009218C8"/>
    <w:rsid w:val="009220CF"/>
    <w:rsid w:val="00922232"/>
    <w:rsid w:val="00922F76"/>
    <w:rsid w:val="00923262"/>
    <w:rsid w:val="009238FA"/>
    <w:rsid w:val="00923C52"/>
    <w:rsid w:val="00925259"/>
    <w:rsid w:val="00925EA4"/>
    <w:rsid w:val="0092725C"/>
    <w:rsid w:val="00927F77"/>
    <w:rsid w:val="00932716"/>
    <w:rsid w:val="00932B30"/>
    <w:rsid w:val="00933946"/>
    <w:rsid w:val="00935953"/>
    <w:rsid w:val="00941D56"/>
    <w:rsid w:val="00943E7A"/>
    <w:rsid w:val="00946DD7"/>
    <w:rsid w:val="00952B8E"/>
    <w:rsid w:val="00962D8C"/>
    <w:rsid w:val="00963A02"/>
    <w:rsid w:val="00963A97"/>
    <w:rsid w:val="00967181"/>
    <w:rsid w:val="0096773B"/>
    <w:rsid w:val="00976C43"/>
    <w:rsid w:val="00977D86"/>
    <w:rsid w:val="009846ED"/>
    <w:rsid w:val="0098659F"/>
    <w:rsid w:val="009868B7"/>
    <w:rsid w:val="00990A27"/>
    <w:rsid w:val="00991E66"/>
    <w:rsid w:val="00993B18"/>
    <w:rsid w:val="00996144"/>
    <w:rsid w:val="00997907"/>
    <w:rsid w:val="009A0E19"/>
    <w:rsid w:val="009A12A4"/>
    <w:rsid w:val="009A2D1F"/>
    <w:rsid w:val="009A3050"/>
    <w:rsid w:val="009A30F9"/>
    <w:rsid w:val="009A4361"/>
    <w:rsid w:val="009A680F"/>
    <w:rsid w:val="009A6FEA"/>
    <w:rsid w:val="009B1F9D"/>
    <w:rsid w:val="009B2346"/>
    <w:rsid w:val="009B2B38"/>
    <w:rsid w:val="009B2C24"/>
    <w:rsid w:val="009B609E"/>
    <w:rsid w:val="009B64E7"/>
    <w:rsid w:val="009C0273"/>
    <w:rsid w:val="009C0362"/>
    <w:rsid w:val="009C0BB1"/>
    <w:rsid w:val="009C2220"/>
    <w:rsid w:val="009C4BC7"/>
    <w:rsid w:val="009C660B"/>
    <w:rsid w:val="009D1CEE"/>
    <w:rsid w:val="009D1E81"/>
    <w:rsid w:val="009D5650"/>
    <w:rsid w:val="009D5A6A"/>
    <w:rsid w:val="009D605A"/>
    <w:rsid w:val="009D60A6"/>
    <w:rsid w:val="009D69BE"/>
    <w:rsid w:val="009E1A0A"/>
    <w:rsid w:val="009E1E15"/>
    <w:rsid w:val="009E1E4B"/>
    <w:rsid w:val="009E24F0"/>
    <w:rsid w:val="009E26CC"/>
    <w:rsid w:val="009E3350"/>
    <w:rsid w:val="009E3FE2"/>
    <w:rsid w:val="009E4AE0"/>
    <w:rsid w:val="009F03F2"/>
    <w:rsid w:val="009F0B07"/>
    <w:rsid w:val="009F29E4"/>
    <w:rsid w:val="009F416D"/>
    <w:rsid w:val="009F6384"/>
    <w:rsid w:val="00A0080D"/>
    <w:rsid w:val="00A01473"/>
    <w:rsid w:val="00A01B5D"/>
    <w:rsid w:val="00A03842"/>
    <w:rsid w:val="00A049F6"/>
    <w:rsid w:val="00A12CD2"/>
    <w:rsid w:val="00A12E8B"/>
    <w:rsid w:val="00A15151"/>
    <w:rsid w:val="00A15A75"/>
    <w:rsid w:val="00A162C8"/>
    <w:rsid w:val="00A20502"/>
    <w:rsid w:val="00A20E36"/>
    <w:rsid w:val="00A229AA"/>
    <w:rsid w:val="00A22EF4"/>
    <w:rsid w:val="00A2440D"/>
    <w:rsid w:val="00A24FF6"/>
    <w:rsid w:val="00A306E3"/>
    <w:rsid w:val="00A34394"/>
    <w:rsid w:val="00A35905"/>
    <w:rsid w:val="00A36BE8"/>
    <w:rsid w:val="00A40606"/>
    <w:rsid w:val="00A40A49"/>
    <w:rsid w:val="00A45481"/>
    <w:rsid w:val="00A45C5C"/>
    <w:rsid w:val="00A45E49"/>
    <w:rsid w:val="00A46FB6"/>
    <w:rsid w:val="00A47B6E"/>
    <w:rsid w:val="00A5051A"/>
    <w:rsid w:val="00A514EF"/>
    <w:rsid w:val="00A5227B"/>
    <w:rsid w:val="00A52697"/>
    <w:rsid w:val="00A5361A"/>
    <w:rsid w:val="00A5530C"/>
    <w:rsid w:val="00A56E7B"/>
    <w:rsid w:val="00A605BA"/>
    <w:rsid w:val="00A6109B"/>
    <w:rsid w:val="00A64B68"/>
    <w:rsid w:val="00A64EAC"/>
    <w:rsid w:val="00A66E5B"/>
    <w:rsid w:val="00A711CC"/>
    <w:rsid w:val="00A71943"/>
    <w:rsid w:val="00A72073"/>
    <w:rsid w:val="00A846D6"/>
    <w:rsid w:val="00A84D7A"/>
    <w:rsid w:val="00A85F4F"/>
    <w:rsid w:val="00A8692B"/>
    <w:rsid w:val="00A86BA9"/>
    <w:rsid w:val="00A90A30"/>
    <w:rsid w:val="00A90BA3"/>
    <w:rsid w:val="00A911C6"/>
    <w:rsid w:val="00A92420"/>
    <w:rsid w:val="00A93D7C"/>
    <w:rsid w:val="00A95BD8"/>
    <w:rsid w:val="00A962EE"/>
    <w:rsid w:val="00A9687B"/>
    <w:rsid w:val="00AA0CD6"/>
    <w:rsid w:val="00AA1646"/>
    <w:rsid w:val="00AA18A1"/>
    <w:rsid w:val="00AA224B"/>
    <w:rsid w:val="00AA42DD"/>
    <w:rsid w:val="00AA5165"/>
    <w:rsid w:val="00AB1D99"/>
    <w:rsid w:val="00AB4169"/>
    <w:rsid w:val="00AB48DF"/>
    <w:rsid w:val="00AB5275"/>
    <w:rsid w:val="00AB7159"/>
    <w:rsid w:val="00AC11C6"/>
    <w:rsid w:val="00AC251F"/>
    <w:rsid w:val="00AC37E4"/>
    <w:rsid w:val="00AC3F15"/>
    <w:rsid w:val="00AC45F0"/>
    <w:rsid w:val="00AC57F5"/>
    <w:rsid w:val="00AC5EC9"/>
    <w:rsid w:val="00AC6D6E"/>
    <w:rsid w:val="00AC7E2C"/>
    <w:rsid w:val="00AD0966"/>
    <w:rsid w:val="00AD62CB"/>
    <w:rsid w:val="00AE1B53"/>
    <w:rsid w:val="00AE1DA4"/>
    <w:rsid w:val="00AE2513"/>
    <w:rsid w:val="00AE4425"/>
    <w:rsid w:val="00AE7896"/>
    <w:rsid w:val="00AF3650"/>
    <w:rsid w:val="00B02658"/>
    <w:rsid w:val="00B074C8"/>
    <w:rsid w:val="00B07819"/>
    <w:rsid w:val="00B152F0"/>
    <w:rsid w:val="00B17844"/>
    <w:rsid w:val="00B206C6"/>
    <w:rsid w:val="00B22039"/>
    <w:rsid w:val="00B240B2"/>
    <w:rsid w:val="00B3007C"/>
    <w:rsid w:val="00B31E2E"/>
    <w:rsid w:val="00B3497C"/>
    <w:rsid w:val="00B358E3"/>
    <w:rsid w:val="00B35EE4"/>
    <w:rsid w:val="00B366EC"/>
    <w:rsid w:val="00B409A8"/>
    <w:rsid w:val="00B40B4C"/>
    <w:rsid w:val="00B40C57"/>
    <w:rsid w:val="00B4183E"/>
    <w:rsid w:val="00B47986"/>
    <w:rsid w:val="00B50DB7"/>
    <w:rsid w:val="00B51877"/>
    <w:rsid w:val="00B52474"/>
    <w:rsid w:val="00B5386B"/>
    <w:rsid w:val="00B57276"/>
    <w:rsid w:val="00B625AF"/>
    <w:rsid w:val="00B643D9"/>
    <w:rsid w:val="00B6557F"/>
    <w:rsid w:val="00B65B59"/>
    <w:rsid w:val="00B6777E"/>
    <w:rsid w:val="00B67F47"/>
    <w:rsid w:val="00B71794"/>
    <w:rsid w:val="00B7278F"/>
    <w:rsid w:val="00B72D23"/>
    <w:rsid w:val="00B75C3E"/>
    <w:rsid w:val="00B75FBB"/>
    <w:rsid w:val="00B76630"/>
    <w:rsid w:val="00B76653"/>
    <w:rsid w:val="00B76E51"/>
    <w:rsid w:val="00B77133"/>
    <w:rsid w:val="00B8123C"/>
    <w:rsid w:val="00B84401"/>
    <w:rsid w:val="00B8460E"/>
    <w:rsid w:val="00B85B74"/>
    <w:rsid w:val="00B871B5"/>
    <w:rsid w:val="00B90ECD"/>
    <w:rsid w:val="00B95840"/>
    <w:rsid w:val="00B97577"/>
    <w:rsid w:val="00BA04CB"/>
    <w:rsid w:val="00BA13B9"/>
    <w:rsid w:val="00BA1FE0"/>
    <w:rsid w:val="00BA284F"/>
    <w:rsid w:val="00BA5989"/>
    <w:rsid w:val="00BA7C71"/>
    <w:rsid w:val="00BB0A57"/>
    <w:rsid w:val="00BB0ED2"/>
    <w:rsid w:val="00BB1D50"/>
    <w:rsid w:val="00BB249D"/>
    <w:rsid w:val="00BB3747"/>
    <w:rsid w:val="00BB446E"/>
    <w:rsid w:val="00BB6B43"/>
    <w:rsid w:val="00BB7A38"/>
    <w:rsid w:val="00BC137B"/>
    <w:rsid w:val="00BC4294"/>
    <w:rsid w:val="00BC439D"/>
    <w:rsid w:val="00BC6738"/>
    <w:rsid w:val="00BC68C1"/>
    <w:rsid w:val="00BC7385"/>
    <w:rsid w:val="00BC7A9D"/>
    <w:rsid w:val="00BD01A8"/>
    <w:rsid w:val="00BD229F"/>
    <w:rsid w:val="00BD2878"/>
    <w:rsid w:val="00BD365F"/>
    <w:rsid w:val="00BD372D"/>
    <w:rsid w:val="00BD5467"/>
    <w:rsid w:val="00BD5B54"/>
    <w:rsid w:val="00BE3872"/>
    <w:rsid w:val="00BE665A"/>
    <w:rsid w:val="00BF1DBF"/>
    <w:rsid w:val="00BF1FAD"/>
    <w:rsid w:val="00BF32D2"/>
    <w:rsid w:val="00BF36EC"/>
    <w:rsid w:val="00BF6848"/>
    <w:rsid w:val="00BF6D30"/>
    <w:rsid w:val="00BF718B"/>
    <w:rsid w:val="00BF7C19"/>
    <w:rsid w:val="00C0150E"/>
    <w:rsid w:val="00C016EE"/>
    <w:rsid w:val="00C01947"/>
    <w:rsid w:val="00C01EC9"/>
    <w:rsid w:val="00C027F2"/>
    <w:rsid w:val="00C05F03"/>
    <w:rsid w:val="00C06E40"/>
    <w:rsid w:val="00C103CE"/>
    <w:rsid w:val="00C112CE"/>
    <w:rsid w:val="00C170C3"/>
    <w:rsid w:val="00C25A1D"/>
    <w:rsid w:val="00C26A1F"/>
    <w:rsid w:val="00C27AFE"/>
    <w:rsid w:val="00C3151F"/>
    <w:rsid w:val="00C325E0"/>
    <w:rsid w:val="00C3270B"/>
    <w:rsid w:val="00C32F75"/>
    <w:rsid w:val="00C335D7"/>
    <w:rsid w:val="00C33DBD"/>
    <w:rsid w:val="00C33FD1"/>
    <w:rsid w:val="00C34439"/>
    <w:rsid w:val="00C35479"/>
    <w:rsid w:val="00C35C7F"/>
    <w:rsid w:val="00C379E4"/>
    <w:rsid w:val="00C4146D"/>
    <w:rsid w:val="00C42AC2"/>
    <w:rsid w:val="00C45E1A"/>
    <w:rsid w:val="00C4792D"/>
    <w:rsid w:val="00C511F0"/>
    <w:rsid w:val="00C51366"/>
    <w:rsid w:val="00C51AAD"/>
    <w:rsid w:val="00C53F70"/>
    <w:rsid w:val="00C66924"/>
    <w:rsid w:val="00C6769A"/>
    <w:rsid w:val="00C70809"/>
    <w:rsid w:val="00C71DDE"/>
    <w:rsid w:val="00C73390"/>
    <w:rsid w:val="00C760EB"/>
    <w:rsid w:val="00C80A7F"/>
    <w:rsid w:val="00C81056"/>
    <w:rsid w:val="00C817FA"/>
    <w:rsid w:val="00C842D3"/>
    <w:rsid w:val="00C85841"/>
    <w:rsid w:val="00C87298"/>
    <w:rsid w:val="00C90825"/>
    <w:rsid w:val="00C90AF2"/>
    <w:rsid w:val="00C922A0"/>
    <w:rsid w:val="00C96C41"/>
    <w:rsid w:val="00C975EE"/>
    <w:rsid w:val="00CA0D41"/>
    <w:rsid w:val="00CA12BC"/>
    <w:rsid w:val="00CA1D9E"/>
    <w:rsid w:val="00CA2152"/>
    <w:rsid w:val="00CA4C10"/>
    <w:rsid w:val="00CA5186"/>
    <w:rsid w:val="00CA590C"/>
    <w:rsid w:val="00CB0BAA"/>
    <w:rsid w:val="00CB52F6"/>
    <w:rsid w:val="00CB781C"/>
    <w:rsid w:val="00CC0BC5"/>
    <w:rsid w:val="00CC2AD8"/>
    <w:rsid w:val="00CC3735"/>
    <w:rsid w:val="00CC65E5"/>
    <w:rsid w:val="00CC76E4"/>
    <w:rsid w:val="00CD0F5A"/>
    <w:rsid w:val="00CD1FD2"/>
    <w:rsid w:val="00CD2D5F"/>
    <w:rsid w:val="00CD3058"/>
    <w:rsid w:val="00CD3513"/>
    <w:rsid w:val="00CD3F50"/>
    <w:rsid w:val="00CD5682"/>
    <w:rsid w:val="00CE0196"/>
    <w:rsid w:val="00CE0F48"/>
    <w:rsid w:val="00CE6176"/>
    <w:rsid w:val="00CE6BC7"/>
    <w:rsid w:val="00CF05BF"/>
    <w:rsid w:val="00CF32CF"/>
    <w:rsid w:val="00CF5143"/>
    <w:rsid w:val="00CF5A4D"/>
    <w:rsid w:val="00CF7B3E"/>
    <w:rsid w:val="00CF7E22"/>
    <w:rsid w:val="00D0047B"/>
    <w:rsid w:val="00D0115A"/>
    <w:rsid w:val="00D018A8"/>
    <w:rsid w:val="00D01A5F"/>
    <w:rsid w:val="00D02E94"/>
    <w:rsid w:val="00D0334B"/>
    <w:rsid w:val="00D036B0"/>
    <w:rsid w:val="00D04FE8"/>
    <w:rsid w:val="00D063FF"/>
    <w:rsid w:val="00D06807"/>
    <w:rsid w:val="00D14189"/>
    <w:rsid w:val="00D145D1"/>
    <w:rsid w:val="00D148F9"/>
    <w:rsid w:val="00D170EB"/>
    <w:rsid w:val="00D17309"/>
    <w:rsid w:val="00D17C4D"/>
    <w:rsid w:val="00D21A27"/>
    <w:rsid w:val="00D31193"/>
    <w:rsid w:val="00D34208"/>
    <w:rsid w:val="00D34CC2"/>
    <w:rsid w:val="00D35E18"/>
    <w:rsid w:val="00D37D9F"/>
    <w:rsid w:val="00D408F0"/>
    <w:rsid w:val="00D42C05"/>
    <w:rsid w:val="00D473B1"/>
    <w:rsid w:val="00D51218"/>
    <w:rsid w:val="00D51A05"/>
    <w:rsid w:val="00D544B1"/>
    <w:rsid w:val="00D549F9"/>
    <w:rsid w:val="00D5628C"/>
    <w:rsid w:val="00D56843"/>
    <w:rsid w:val="00D5755A"/>
    <w:rsid w:val="00D60FD1"/>
    <w:rsid w:val="00D610BA"/>
    <w:rsid w:val="00D6116A"/>
    <w:rsid w:val="00D6306D"/>
    <w:rsid w:val="00D656D9"/>
    <w:rsid w:val="00D65D9A"/>
    <w:rsid w:val="00D66910"/>
    <w:rsid w:val="00D66E61"/>
    <w:rsid w:val="00D7191A"/>
    <w:rsid w:val="00D7229D"/>
    <w:rsid w:val="00D72FF5"/>
    <w:rsid w:val="00D73923"/>
    <w:rsid w:val="00D73C01"/>
    <w:rsid w:val="00D7731E"/>
    <w:rsid w:val="00D8373C"/>
    <w:rsid w:val="00D84644"/>
    <w:rsid w:val="00D84B5F"/>
    <w:rsid w:val="00D84FA6"/>
    <w:rsid w:val="00D857A9"/>
    <w:rsid w:val="00D862AC"/>
    <w:rsid w:val="00D90647"/>
    <w:rsid w:val="00D913C1"/>
    <w:rsid w:val="00D92694"/>
    <w:rsid w:val="00D93104"/>
    <w:rsid w:val="00D93D21"/>
    <w:rsid w:val="00D93EBF"/>
    <w:rsid w:val="00D9753B"/>
    <w:rsid w:val="00D97D87"/>
    <w:rsid w:val="00DA0211"/>
    <w:rsid w:val="00DA0215"/>
    <w:rsid w:val="00DA04FC"/>
    <w:rsid w:val="00DA0909"/>
    <w:rsid w:val="00DA0BE2"/>
    <w:rsid w:val="00DA2187"/>
    <w:rsid w:val="00DA2949"/>
    <w:rsid w:val="00DA4613"/>
    <w:rsid w:val="00DA5202"/>
    <w:rsid w:val="00DA7162"/>
    <w:rsid w:val="00DB04BD"/>
    <w:rsid w:val="00DB2473"/>
    <w:rsid w:val="00DB5505"/>
    <w:rsid w:val="00DB64EF"/>
    <w:rsid w:val="00DB7913"/>
    <w:rsid w:val="00DB7B08"/>
    <w:rsid w:val="00DC2FAA"/>
    <w:rsid w:val="00DC3CA3"/>
    <w:rsid w:val="00DC4471"/>
    <w:rsid w:val="00DC6DDB"/>
    <w:rsid w:val="00DC74CB"/>
    <w:rsid w:val="00DD0FED"/>
    <w:rsid w:val="00DD1D11"/>
    <w:rsid w:val="00DD4B12"/>
    <w:rsid w:val="00DD732C"/>
    <w:rsid w:val="00DD7507"/>
    <w:rsid w:val="00DE0C5C"/>
    <w:rsid w:val="00DE3A5D"/>
    <w:rsid w:val="00DE48F3"/>
    <w:rsid w:val="00DE5F55"/>
    <w:rsid w:val="00DF279F"/>
    <w:rsid w:val="00DF28A4"/>
    <w:rsid w:val="00DF6B98"/>
    <w:rsid w:val="00E00758"/>
    <w:rsid w:val="00E01093"/>
    <w:rsid w:val="00E01AF4"/>
    <w:rsid w:val="00E04C12"/>
    <w:rsid w:val="00E070FF"/>
    <w:rsid w:val="00E07BAD"/>
    <w:rsid w:val="00E1068B"/>
    <w:rsid w:val="00E11C11"/>
    <w:rsid w:val="00E12C9C"/>
    <w:rsid w:val="00E169F9"/>
    <w:rsid w:val="00E2090E"/>
    <w:rsid w:val="00E20F1F"/>
    <w:rsid w:val="00E23341"/>
    <w:rsid w:val="00E25FA6"/>
    <w:rsid w:val="00E30A66"/>
    <w:rsid w:val="00E30BD5"/>
    <w:rsid w:val="00E34864"/>
    <w:rsid w:val="00E367F3"/>
    <w:rsid w:val="00E37974"/>
    <w:rsid w:val="00E37BCA"/>
    <w:rsid w:val="00E411DE"/>
    <w:rsid w:val="00E429BA"/>
    <w:rsid w:val="00E42ABE"/>
    <w:rsid w:val="00E43597"/>
    <w:rsid w:val="00E44189"/>
    <w:rsid w:val="00E46D6A"/>
    <w:rsid w:val="00E47E2B"/>
    <w:rsid w:val="00E504E6"/>
    <w:rsid w:val="00E505A0"/>
    <w:rsid w:val="00E52EA6"/>
    <w:rsid w:val="00E533C4"/>
    <w:rsid w:val="00E54335"/>
    <w:rsid w:val="00E55319"/>
    <w:rsid w:val="00E57F10"/>
    <w:rsid w:val="00E60F39"/>
    <w:rsid w:val="00E61189"/>
    <w:rsid w:val="00E642B7"/>
    <w:rsid w:val="00E66064"/>
    <w:rsid w:val="00E66AC5"/>
    <w:rsid w:val="00E66DC4"/>
    <w:rsid w:val="00E67666"/>
    <w:rsid w:val="00E70530"/>
    <w:rsid w:val="00E708F5"/>
    <w:rsid w:val="00E71F16"/>
    <w:rsid w:val="00E72287"/>
    <w:rsid w:val="00E72959"/>
    <w:rsid w:val="00E73659"/>
    <w:rsid w:val="00E754AB"/>
    <w:rsid w:val="00E76C89"/>
    <w:rsid w:val="00E7769C"/>
    <w:rsid w:val="00E77F8B"/>
    <w:rsid w:val="00E80453"/>
    <w:rsid w:val="00E814E1"/>
    <w:rsid w:val="00E81847"/>
    <w:rsid w:val="00E8193E"/>
    <w:rsid w:val="00E81F94"/>
    <w:rsid w:val="00E82C4C"/>
    <w:rsid w:val="00E84FBA"/>
    <w:rsid w:val="00E86163"/>
    <w:rsid w:val="00E86B07"/>
    <w:rsid w:val="00E92B00"/>
    <w:rsid w:val="00E93F64"/>
    <w:rsid w:val="00E944C4"/>
    <w:rsid w:val="00E9472D"/>
    <w:rsid w:val="00E9568A"/>
    <w:rsid w:val="00E958BC"/>
    <w:rsid w:val="00E965DD"/>
    <w:rsid w:val="00E966BC"/>
    <w:rsid w:val="00E97387"/>
    <w:rsid w:val="00E979EB"/>
    <w:rsid w:val="00EA00CA"/>
    <w:rsid w:val="00EA28EB"/>
    <w:rsid w:val="00EA4D9A"/>
    <w:rsid w:val="00EB0482"/>
    <w:rsid w:val="00EB1006"/>
    <w:rsid w:val="00EB2A0D"/>
    <w:rsid w:val="00EB3B9B"/>
    <w:rsid w:val="00EB4497"/>
    <w:rsid w:val="00EB55DC"/>
    <w:rsid w:val="00EB5C10"/>
    <w:rsid w:val="00EC2959"/>
    <w:rsid w:val="00EC2A5B"/>
    <w:rsid w:val="00EC2C41"/>
    <w:rsid w:val="00EC3592"/>
    <w:rsid w:val="00EC3858"/>
    <w:rsid w:val="00EC4138"/>
    <w:rsid w:val="00EC5E42"/>
    <w:rsid w:val="00ED0428"/>
    <w:rsid w:val="00ED0B0D"/>
    <w:rsid w:val="00ED36E7"/>
    <w:rsid w:val="00ED3EA6"/>
    <w:rsid w:val="00EE1988"/>
    <w:rsid w:val="00EE2DE9"/>
    <w:rsid w:val="00EE47F4"/>
    <w:rsid w:val="00EE4BC8"/>
    <w:rsid w:val="00EE5A41"/>
    <w:rsid w:val="00EE7D09"/>
    <w:rsid w:val="00EF032D"/>
    <w:rsid w:val="00EF200E"/>
    <w:rsid w:val="00EF3892"/>
    <w:rsid w:val="00F00B86"/>
    <w:rsid w:val="00F0192D"/>
    <w:rsid w:val="00F02FB0"/>
    <w:rsid w:val="00F04D03"/>
    <w:rsid w:val="00F0709D"/>
    <w:rsid w:val="00F10352"/>
    <w:rsid w:val="00F117EA"/>
    <w:rsid w:val="00F12C81"/>
    <w:rsid w:val="00F21DAE"/>
    <w:rsid w:val="00F229C5"/>
    <w:rsid w:val="00F24580"/>
    <w:rsid w:val="00F2581D"/>
    <w:rsid w:val="00F27C09"/>
    <w:rsid w:val="00F30C5D"/>
    <w:rsid w:val="00F30D3A"/>
    <w:rsid w:val="00F320B9"/>
    <w:rsid w:val="00F325BA"/>
    <w:rsid w:val="00F328E0"/>
    <w:rsid w:val="00F3329B"/>
    <w:rsid w:val="00F34895"/>
    <w:rsid w:val="00F35839"/>
    <w:rsid w:val="00F374B3"/>
    <w:rsid w:val="00F37866"/>
    <w:rsid w:val="00F37F2F"/>
    <w:rsid w:val="00F40041"/>
    <w:rsid w:val="00F4069C"/>
    <w:rsid w:val="00F40A3F"/>
    <w:rsid w:val="00F417F9"/>
    <w:rsid w:val="00F41B11"/>
    <w:rsid w:val="00F47FA4"/>
    <w:rsid w:val="00F51901"/>
    <w:rsid w:val="00F54CCD"/>
    <w:rsid w:val="00F551BA"/>
    <w:rsid w:val="00F55752"/>
    <w:rsid w:val="00F56E40"/>
    <w:rsid w:val="00F57039"/>
    <w:rsid w:val="00F61AD8"/>
    <w:rsid w:val="00F62EFF"/>
    <w:rsid w:val="00F63579"/>
    <w:rsid w:val="00F63AC0"/>
    <w:rsid w:val="00F63B08"/>
    <w:rsid w:val="00F64459"/>
    <w:rsid w:val="00F64575"/>
    <w:rsid w:val="00F67CC5"/>
    <w:rsid w:val="00F70287"/>
    <w:rsid w:val="00F70E8F"/>
    <w:rsid w:val="00F71D6D"/>
    <w:rsid w:val="00F7780B"/>
    <w:rsid w:val="00F80749"/>
    <w:rsid w:val="00F82AE3"/>
    <w:rsid w:val="00F8319B"/>
    <w:rsid w:val="00F831B1"/>
    <w:rsid w:val="00F83F9A"/>
    <w:rsid w:val="00F84084"/>
    <w:rsid w:val="00F84879"/>
    <w:rsid w:val="00F865C8"/>
    <w:rsid w:val="00F87A64"/>
    <w:rsid w:val="00F90A10"/>
    <w:rsid w:val="00F9140D"/>
    <w:rsid w:val="00F9203C"/>
    <w:rsid w:val="00F924E8"/>
    <w:rsid w:val="00F96D94"/>
    <w:rsid w:val="00F97A4A"/>
    <w:rsid w:val="00FA123D"/>
    <w:rsid w:val="00FA1D9F"/>
    <w:rsid w:val="00FA206B"/>
    <w:rsid w:val="00FA24CC"/>
    <w:rsid w:val="00FB0AC3"/>
    <w:rsid w:val="00FB11E5"/>
    <w:rsid w:val="00FB19C1"/>
    <w:rsid w:val="00FB21BD"/>
    <w:rsid w:val="00FB4CF7"/>
    <w:rsid w:val="00FC3E5D"/>
    <w:rsid w:val="00FC5FEA"/>
    <w:rsid w:val="00FD7720"/>
    <w:rsid w:val="00FE12D1"/>
    <w:rsid w:val="00FE172B"/>
    <w:rsid w:val="00FE255E"/>
    <w:rsid w:val="00FE2ABA"/>
    <w:rsid w:val="00FE4F34"/>
    <w:rsid w:val="00FE72FC"/>
    <w:rsid w:val="00FF2004"/>
    <w:rsid w:val="00FF3106"/>
    <w:rsid w:val="00FF3310"/>
    <w:rsid w:val="00FF354E"/>
    <w:rsid w:val="00FF416C"/>
    <w:rsid w:val="00FF525D"/>
    <w:rsid w:val="00FF62A3"/>
    <w:rsid w:val="00FF6788"/>
    <w:rsid w:val="00FF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D0797"/>
  <w15:docId w15:val="{EF9F24F0-FC37-4F76-9E6A-DFD6FF33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5BA"/>
    <w:pPr>
      <w:suppressAutoHyphens/>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940B9"/>
    <w:pPr>
      <w:keepNext/>
      <w:suppressAutoHyphens w:val="0"/>
      <w:outlineLvl w:val="0"/>
    </w:pPr>
    <w:rPr>
      <w:rFonts w:ascii="Arial" w:hAnsi="Arial" w:cs="Arial"/>
      <w:b/>
    </w:rPr>
  </w:style>
  <w:style w:type="paragraph" w:styleId="Heading2">
    <w:name w:val="heading 2"/>
    <w:basedOn w:val="Normal"/>
    <w:next w:val="Normal"/>
    <w:link w:val="Heading2Char"/>
    <w:uiPriority w:val="9"/>
    <w:qFormat/>
    <w:rsid w:val="000940B9"/>
    <w:pPr>
      <w:keepNext/>
      <w:suppressAutoHyphens w:val="0"/>
      <w:outlineLvl w:val="1"/>
    </w:pPr>
    <w:rPr>
      <w:b/>
      <w:bCs/>
      <w:sz w:val="22"/>
      <w:szCs w:val="22"/>
    </w:rPr>
  </w:style>
  <w:style w:type="paragraph" w:styleId="Heading3">
    <w:name w:val="heading 3"/>
    <w:basedOn w:val="Normal"/>
    <w:next w:val="Normal"/>
    <w:link w:val="Heading3Char"/>
    <w:uiPriority w:val="9"/>
    <w:qFormat/>
    <w:rsid w:val="000940B9"/>
    <w:pPr>
      <w:keepNext/>
      <w:suppressAutoHyphens w:val="0"/>
      <w:outlineLvl w:val="2"/>
    </w:pPr>
    <w:rPr>
      <w:rFonts w:ascii="Arial" w:hAnsi="Arial" w:cs="Arial"/>
      <w:b/>
      <w:bCs/>
      <w:sz w:val="20"/>
    </w:rPr>
  </w:style>
  <w:style w:type="paragraph" w:styleId="Heading4">
    <w:name w:val="heading 4"/>
    <w:basedOn w:val="Normal"/>
    <w:next w:val="Normal"/>
    <w:link w:val="Heading4Char"/>
    <w:qFormat/>
    <w:rsid w:val="000940B9"/>
    <w:pPr>
      <w:keepNext/>
      <w:suppressAutoHyphens w:val="0"/>
      <w:jc w:val="center"/>
      <w:outlineLvl w:val="3"/>
    </w:pPr>
    <w:rPr>
      <w:b/>
      <w:bCs/>
      <w:noProof/>
      <w:sz w:val="28"/>
      <w:szCs w:val="32"/>
      <w:u w:val="single"/>
    </w:rPr>
  </w:style>
  <w:style w:type="paragraph" w:styleId="Heading5">
    <w:name w:val="heading 5"/>
    <w:basedOn w:val="Normal"/>
    <w:next w:val="Normal"/>
    <w:link w:val="Heading5Char"/>
    <w:qFormat/>
    <w:rsid w:val="000940B9"/>
    <w:pPr>
      <w:keepNext/>
      <w:suppressAutoHyphens w:val="0"/>
      <w:jc w:val="center"/>
      <w:outlineLvl w:val="4"/>
    </w:pPr>
    <w:rPr>
      <w:b/>
      <w:bCs/>
      <w:noProof/>
      <w:szCs w:val="28"/>
    </w:rPr>
  </w:style>
  <w:style w:type="paragraph" w:styleId="Heading6">
    <w:name w:val="heading 6"/>
    <w:basedOn w:val="Normal"/>
    <w:next w:val="Normal"/>
    <w:link w:val="Heading6Char"/>
    <w:qFormat/>
    <w:rsid w:val="000940B9"/>
    <w:pPr>
      <w:keepNext/>
      <w:suppressAutoHyphens w:val="0"/>
      <w:jc w:val="center"/>
      <w:outlineLvl w:val="5"/>
    </w:pPr>
    <w:rPr>
      <w:b/>
      <w:bCs/>
      <w:snapToGrid w:val="0"/>
      <w:sz w:val="28"/>
      <w:szCs w:val="28"/>
    </w:rPr>
  </w:style>
  <w:style w:type="paragraph" w:styleId="Heading7">
    <w:name w:val="heading 7"/>
    <w:basedOn w:val="Normal"/>
    <w:next w:val="Normal"/>
    <w:link w:val="Heading7Char"/>
    <w:qFormat/>
    <w:rsid w:val="000940B9"/>
    <w:pPr>
      <w:keepNext/>
      <w:suppressAutoHyphens w:val="0"/>
      <w:jc w:val="center"/>
      <w:outlineLvl w:val="6"/>
    </w:pPr>
    <w:rPr>
      <w:b/>
      <w:bCs/>
      <w:noProof/>
    </w:rPr>
  </w:style>
  <w:style w:type="paragraph" w:styleId="Heading8">
    <w:name w:val="heading 8"/>
    <w:basedOn w:val="Normal"/>
    <w:next w:val="Normal"/>
    <w:link w:val="Heading8Char"/>
    <w:qFormat/>
    <w:rsid w:val="000940B9"/>
    <w:pPr>
      <w:keepNext/>
      <w:suppressAutoHyphens w:val="0"/>
      <w:jc w:val="right"/>
      <w:outlineLvl w:val="7"/>
    </w:pPr>
    <w:rPr>
      <w:rFonts w:ascii="Arial" w:hAnsi="Arial" w:cs="Arial"/>
      <w:b/>
      <w:bCs/>
      <w:sz w:val="20"/>
    </w:rPr>
  </w:style>
  <w:style w:type="paragraph" w:styleId="Heading9">
    <w:name w:val="heading 9"/>
    <w:basedOn w:val="Normal"/>
    <w:next w:val="Normal"/>
    <w:link w:val="Heading9Char"/>
    <w:qFormat/>
    <w:rsid w:val="000940B9"/>
    <w:pPr>
      <w:keepNext/>
      <w:suppressAutoHyphens w:val="0"/>
      <w:jc w:val="center"/>
      <w:outlineLvl w:val="8"/>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0B9"/>
    <w:rPr>
      <w:rFonts w:ascii="Arial" w:eastAsia="Times New Roman" w:hAnsi="Arial" w:cs="Arial"/>
      <w:b/>
      <w:sz w:val="24"/>
      <w:szCs w:val="20"/>
    </w:rPr>
  </w:style>
  <w:style w:type="character" w:customStyle="1" w:styleId="Heading2Char">
    <w:name w:val="Heading 2 Char"/>
    <w:basedOn w:val="DefaultParagraphFont"/>
    <w:link w:val="Heading2"/>
    <w:uiPriority w:val="9"/>
    <w:rsid w:val="000940B9"/>
    <w:rPr>
      <w:rFonts w:ascii="Times New Roman" w:eastAsia="Times New Roman" w:hAnsi="Times New Roman" w:cs="Times New Roman"/>
      <w:b/>
      <w:bCs/>
    </w:rPr>
  </w:style>
  <w:style w:type="character" w:customStyle="1" w:styleId="Heading3Char">
    <w:name w:val="Heading 3 Char"/>
    <w:basedOn w:val="DefaultParagraphFont"/>
    <w:link w:val="Heading3"/>
    <w:uiPriority w:val="9"/>
    <w:rsid w:val="000940B9"/>
    <w:rPr>
      <w:rFonts w:ascii="Arial" w:eastAsia="Times New Roman" w:hAnsi="Arial" w:cs="Arial"/>
      <w:b/>
      <w:bCs/>
      <w:sz w:val="20"/>
      <w:szCs w:val="20"/>
    </w:rPr>
  </w:style>
  <w:style w:type="character" w:customStyle="1" w:styleId="Heading4Char">
    <w:name w:val="Heading 4 Char"/>
    <w:basedOn w:val="DefaultParagraphFont"/>
    <w:link w:val="Heading4"/>
    <w:rsid w:val="000940B9"/>
    <w:rPr>
      <w:rFonts w:ascii="Times New Roman" w:eastAsia="Times New Roman" w:hAnsi="Times New Roman" w:cs="Times New Roman"/>
      <w:b/>
      <w:bCs/>
      <w:noProof/>
      <w:sz w:val="28"/>
      <w:szCs w:val="32"/>
      <w:u w:val="single"/>
    </w:rPr>
  </w:style>
  <w:style w:type="character" w:customStyle="1" w:styleId="Heading5Char">
    <w:name w:val="Heading 5 Char"/>
    <w:basedOn w:val="DefaultParagraphFont"/>
    <w:link w:val="Heading5"/>
    <w:rsid w:val="000940B9"/>
    <w:rPr>
      <w:rFonts w:ascii="Times New Roman" w:eastAsia="Times New Roman" w:hAnsi="Times New Roman" w:cs="Times New Roman"/>
      <w:b/>
      <w:bCs/>
      <w:noProof/>
      <w:sz w:val="24"/>
      <w:szCs w:val="28"/>
    </w:rPr>
  </w:style>
  <w:style w:type="character" w:customStyle="1" w:styleId="Heading6Char">
    <w:name w:val="Heading 6 Char"/>
    <w:basedOn w:val="DefaultParagraphFont"/>
    <w:link w:val="Heading6"/>
    <w:rsid w:val="000940B9"/>
    <w:rPr>
      <w:rFonts w:ascii="Times New Roman" w:eastAsia="Times New Roman" w:hAnsi="Times New Roman" w:cs="Times New Roman"/>
      <w:b/>
      <w:bCs/>
      <w:snapToGrid w:val="0"/>
      <w:sz w:val="28"/>
      <w:szCs w:val="28"/>
    </w:rPr>
  </w:style>
  <w:style w:type="character" w:customStyle="1" w:styleId="Heading7Char">
    <w:name w:val="Heading 7 Char"/>
    <w:basedOn w:val="DefaultParagraphFont"/>
    <w:link w:val="Heading7"/>
    <w:rsid w:val="000940B9"/>
    <w:rPr>
      <w:rFonts w:ascii="Times New Roman" w:eastAsia="Times New Roman" w:hAnsi="Times New Roman" w:cs="Times New Roman"/>
      <w:b/>
      <w:bCs/>
      <w:noProof/>
      <w:sz w:val="24"/>
      <w:szCs w:val="20"/>
    </w:rPr>
  </w:style>
  <w:style w:type="character" w:customStyle="1" w:styleId="Heading8Char">
    <w:name w:val="Heading 8 Char"/>
    <w:basedOn w:val="DefaultParagraphFont"/>
    <w:link w:val="Heading8"/>
    <w:rsid w:val="000940B9"/>
    <w:rPr>
      <w:rFonts w:ascii="Arial" w:eastAsia="Times New Roman" w:hAnsi="Arial" w:cs="Arial"/>
      <w:b/>
      <w:bCs/>
      <w:sz w:val="20"/>
      <w:szCs w:val="20"/>
    </w:rPr>
  </w:style>
  <w:style w:type="character" w:customStyle="1" w:styleId="Heading9Char">
    <w:name w:val="Heading 9 Char"/>
    <w:basedOn w:val="DefaultParagraphFont"/>
    <w:link w:val="Heading9"/>
    <w:rsid w:val="000940B9"/>
    <w:rPr>
      <w:rFonts w:ascii="Arial" w:eastAsia="Times New Roman" w:hAnsi="Arial" w:cs="Times New Roman"/>
      <w:b/>
      <w:bCs/>
      <w:szCs w:val="20"/>
    </w:rPr>
  </w:style>
  <w:style w:type="character" w:styleId="Hyperlink">
    <w:name w:val="Hyperlink"/>
    <w:basedOn w:val="DefaultParagraphFont"/>
    <w:uiPriority w:val="99"/>
    <w:rsid w:val="00827115"/>
    <w:rPr>
      <w:color w:val="0000FF"/>
      <w:u w:val="single"/>
    </w:rPr>
  </w:style>
  <w:style w:type="paragraph" w:styleId="NormalWeb">
    <w:name w:val="Normal (Web)"/>
    <w:basedOn w:val="Normal"/>
    <w:uiPriority w:val="99"/>
    <w:rsid w:val="00827115"/>
    <w:pPr>
      <w:spacing w:before="100" w:beforeAutospacing="1" w:after="100" w:afterAutospacing="1"/>
    </w:pPr>
    <w:rPr>
      <w:lang w:eastAsia="zh-CN"/>
    </w:rPr>
  </w:style>
  <w:style w:type="paragraph" w:customStyle="1" w:styleId="SectionHead">
    <w:name w:val="Section # Head"/>
    <w:basedOn w:val="Normal"/>
    <w:rsid w:val="00827115"/>
    <w:pPr>
      <w:spacing w:after="80"/>
    </w:pPr>
    <w:rPr>
      <w:rFonts w:ascii="Arial" w:hAnsi="Arial"/>
      <w:b/>
      <w:caps/>
      <w:color w:val="00286B"/>
      <w:sz w:val="28"/>
    </w:rPr>
  </w:style>
  <w:style w:type="paragraph" w:customStyle="1" w:styleId="SectionTitleHead">
    <w:name w:val="Section Title Head"/>
    <w:basedOn w:val="SectionHead"/>
    <w:rsid w:val="00827115"/>
  </w:style>
  <w:style w:type="paragraph" w:customStyle="1" w:styleId="Bullet">
    <w:name w:val="Bullet"/>
    <w:aliases w:val="Alt-B"/>
    <w:next w:val="Normal"/>
    <w:rsid w:val="00827115"/>
    <w:pPr>
      <w:tabs>
        <w:tab w:val="num" w:pos="720"/>
      </w:tabs>
      <w:spacing w:after="0" w:line="240" w:lineRule="auto"/>
      <w:ind w:left="720" w:hanging="360"/>
    </w:pPr>
    <w:rPr>
      <w:rFonts w:ascii="Times New Roman" w:eastAsia="Times New Roman" w:hAnsi="Times New Roman" w:cs="Times New Roman"/>
      <w:noProof/>
      <w:szCs w:val="20"/>
    </w:rPr>
  </w:style>
  <w:style w:type="paragraph" w:customStyle="1" w:styleId="BODYTEXT2BULLET1">
    <w:name w:val="BODY TEXT 2 BULLET 1"/>
    <w:basedOn w:val="Normal"/>
    <w:uiPriority w:val="99"/>
    <w:rsid w:val="00827115"/>
    <w:pPr>
      <w:numPr>
        <w:numId w:val="1"/>
      </w:numPr>
      <w:suppressAutoHyphens w:val="0"/>
      <w:spacing w:after="120" w:line="200" w:lineRule="exact"/>
      <w:ind w:left="288" w:hanging="288"/>
    </w:pPr>
    <w:rPr>
      <w:rFonts w:ascii="Arial" w:hAnsi="Arial"/>
      <w:sz w:val="20"/>
      <w:szCs w:val="24"/>
    </w:rPr>
  </w:style>
  <w:style w:type="paragraph" w:customStyle="1" w:styleId="Default">
    <w:name w:val="Default"/>
    <w:rsid w:val="0086139A"/>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rsid w:val="0086139A"/>
    <w:pPr>
      <w:spacing w:after="120"/>
    </w:pPr>
  </w:style>
  <w:style w:type="character" w:customStyle="1" w:styleId="BodyTextChar">
    <w:name w:val="Body Text Char"/>
    <w:basedOn w:val="DefaultParagraphFont"/>
    <w:link w:val="BodyText"/>
    <w:rsid w:val="0086139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6139A"/>
    <w:rPr>
      <w:sz w:val="16"/>
      <w:szCs w:val="16"/>
    </w:rPr>
  </w:style>
  <w:style w:type="paragraph" w:styleId="CommentText">
    <w:name w:val="annotation text"/>
    <w:basedOn w:val="Normal"/>
    <w:link w:val="CommentTextChar"/>
    <w:uiPriority w:val="99"/>
    <w:unhideWhenUsed/>
    <w:rsid w:val="0086139A"/>
    <w:rPr>
      <w:sz w:val="20"/>
    </w:rPr>
  </w:style>
  <w:style w:type="character" w:customStyle="1" w:styleId="CommentTextChar">
    <w:name w:val="Comment Text Char"/>
    <w:basedOn w:val="DefaultParagraphFont"/>
    <w:link w:val="CommentText"/>
    <w:uiPriority w:val="99"/>
    <w:rsid w:val="008613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139A"/>
    <w:rPr>
      <w:b/>
      <w:bCs/>
    </w:rPr>
  </w:style>
  <w:style w:type="character" w:customStyle="1" w:styleId="CommentSubjectChar">
    <w:name w:val="Comment Subject Char"/>
    <w:basedOn w:val="CommentTextChar"/>
    <w:link w:val="CommentSubject"/>
    <w:uiPriority w:val="99"/>
    <w:semiHidden/>
    <w:rsid w:val="008613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6139A"/>
    <w:rPr>
      <w:rFonts w:ascii="Tahoma" w:hAnsi="Tahoma" w:cs="Tahoma"/>
      <w:sz w:val="16"/>
      <w:szCs w:val="16"/>
    </w:rPr>
  </w:style>
  <w:style w:type="character" w:customStyle="1" w:styleId="BalloonTextChar">
    <w:name w:val="Balloon Text Char"/>
    <w:basedOn w:val="DefaultParagraphFont"/>
    <w:link w:val="BalloonText"/>
    <w:uiPriority w:val="99"/>
    <w:semiHidden/>
    <w:rsid w:val="0086139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1161A"/>
    <w:rPr>
      <w:color w:val="800080" w:themeColor="followedHyperlink"/>
      <w:u w:val="single"/>
    </w:rPr>
  </w:style>
  <w:style w:type="paragraph" w:styleId="ListParagraph">
    <w:name w:val="List Paragraph"/>
    <w:aliases w:val="Ha,Heading II,List Paragraph1,List bullet,IRD Bullet List,Bullet List,FooterText,numbered,Paragraphe de liste1,Bulletr List Paragraph,列出段落,列出段落1,List Paragraph2,List Paragraph21,Párrafo de lista1,Parágrafo da Lista1,リスト段落1"/>
    <w:basedOn w:val="Normal"/>
    <w:link w:val="ListParagraphChar"/>
    <w:uiPriority w:val="1"/>
    <w:qFormat/>
    <w:rsid w:val="007715E3"/>
    <w:pPr>
      <w:ind w:left="720"/>
      <w:contextualSpacing/>
    </w:pPr>
  </w:style>
  <w:style w:type="paragraph" w:styleId="Revision">
    <w:name w:val="Revision"/>
    <w:hidden/>
    <w:uiPriority w:val="99"/>
    <w:semiHidden/>
    <w:rsid w:val="00A92420"/>
    <w:pPr>
      <w:spacing w:after="0" w:line="240" w:lineRule="auto"/>
    </w:pPr>
    <w:rPr>
      <w:rFonts w:ascii="Times New Roman" w:eastAsia="Times New Roman" w:hAnsi="Times New Roman" w:cs="Times New Roman"/>
      <w:sz w:val="24"/>
      <w:szCs w:val="20"/>
    </w:rPr>
  </w:style>
  <w:style w:type="paragraph" w:customStyle="1" w:styleId="xl24">
    <w:name w:val="xl24"/>
    <w:basedOn w:val="Normal"/>
    <w:rsid w:val="00B85B74"/>
    <w:pPr>
      <w:pBdr>
        <w:left w:val="single" w:sz="4" w:space="0" w:color="auto"/>
        <w:right w:val="single" w:sz="4" w:space="0" w:color="auto"/>
      </w:pBdr>
      <w:suppressAutoHyphens w:val="0"/>
      <w:spacing w:before="100" w:beforeAutospacing="1" w:after="100" w:afterAutospacing="1"/>
    </w:pPr>
    <w:rPr>
      <w:sz w:val="22"/>
      <w:szCs w:val="24"/>
    </w:rPr>
  </w:style>
  <w:style w:type="paragraph" w:styleId="Header">
    <w:name w:val="header"/>
    <w:basedOn w:val="Normal"/>
    <w:link w:val="HeaderChar"/>
    <w:uiPriority w:val="99"/>
    <w:unhideWhenUsed/>
    <w:rsid w:val="008E4E76"/>
    <w:pPr>
      <w:tabs>
        <w:tab w:val="center" w:pos="4680"/>
        <w:tab w:val="right" w:pos="9360"/>
      </w:tabs>
    </w:pPr>
  </w:style>
  <w:style w:type="character" w:customStyle="1" w:styleId="HeaderChar">
    <w:name w:val="Header Char"/>
    <w:basedOn w:val="DefaultParagraphFont"/>
    <w:link w:val="Header"/>
    <w:uiPriority w:val="99"/>
    <w:rsid w:val="008E4E7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E4E76"/>
    <w:pPr>
      <w:tabs>
        <w:tab w:val="center" w:pos="4680"/>
        <w:tab w:val="right" w:pos="9360"/>
      </w:tabs>
    </w:pPr>
  </w:style>
  <w:style w:type="character" w:customStyle="1" w:styleId="FooterChar">
    <w:name w:val="Footer Char"/>
    <w:basedOn w:val="DefaultParagraphFont"/>
    <w:link w:val="Footer"/>
    <w:uiPriority w:val="99"/>
    <w:rsid w:val="008E4E76"/>
    <w:rPr>
      <w:rFonts w:ascii="Times New Roman" w:eastAsia="Times New Roman" w:hAnsi="Times New Roman" w:cs="Times New Roman"/>
      <w:sz w:val="24"/>
      <w:szCs w:val="20"/>
    </w:rPr>
  </w:style>
  <w:style w:type="character" w:styleId="PageNumber">
    <w:name w:val="page number"/>
    <w:basedOn w:val="DefaultParagraphFont"/>
    <w:rsid w:val="000940B9"/>
  </w:style>
  <w:style w:type="paragraph" w:styleId="BodyText2">
    <w:name w:val="Body Text 2"/>
    <w:basedOn w:val="Normal"/>
    <w:link w:val="BodyText2Char"/>
    <w:rsid w:val="000940B9"/>
    <w:pPr>
      <w:suppressAutoHyphens w:val="0"/>
    </w:pPr>
    <w:rPr>
      <w:rFonts w:ascii="Arial" w:hAnsi="Arial"/>
      <w:b/>
      <w:sz w:val="22"/>
    </w:rPr>
  </w:style>
  <w:style w:type="character" w:customStyle="1" w:styleId="BodyText2Char">
    <w:name w:val="Body Text 2 Char"/>
    <w:basedOn w:val="DefaultParagraphFont"/>
    <w:link w:val="BodyText2"/>
    <w:rsid w:val="000940B9"/>
    <w:rPr>
      <w:rFonts w:ascii="Arial" w:eastAsia="Times New Roman" w:hAnsi="Arial" w:cs="Times New Roman"/>
      <w:b/>
      <w:szCs w:val="20"/>
    </w:rPr>
  </w:style>
  <w:style w:type="paragraph" w:styleId="BodyText3">
    <w:name w:val="Body Text 3"/>
    <w:basedOn w:val="Normal"/>
    <w:link w:val="BodyText3Char"/>
    <w:rsid w:val="000940B9"/>
    <w:pPr>
      <w:suppressAutoHyphens w:val="0"/>
    </w:pPr>
    <w:rPr>
      <w:rFonts w:ascii="Arial" w:hAnsi="Arial"/>
      <w:b/>
      <w:bCs/>
      <w:i/>
      <w:iCs/>
      <w:sz w:val="22"/>
    </w:rPr>
  </w:style>
  <w:style w:type="character" w:customStyle="1" w:styleId="BodyText3Char">
    <w:name w:val="Body Text 3 Char"/>
    <w:basedOn w:val="DefaultParagraphFont"/>
    <w:link w:val="BodyText3"/>
    <w:rsid w:val="000940B9"/>
    <w:rPr>
      <w:rFonts w:ascii="Arial" w:eastAsia="Times New Roman" w:hAnsi="Arial" w:cs="Times New Roman"/>
      <w:b/>
      <w:bCs/>
      <w:i/>
      <w:iCs/>
      <w:szCs w:val="20"/>
    </w:rPr>
  </w:style>
  <w:style w:type="paragraph" w:styleId="Title">
    <w:name w:val="Title"/>
    <w:basedOn w:val="Normal"/>
    <w:link w:val="TitleChar"/>
    <w:qFormat/>
    <w:rsid w:val="000940B9"/>
    <w:pPr>
      <w:suppressAutoHyphens w:val="0"/>
      <w:jc w:val="center"/>
    </w:pPr>
    <w:rPr>
      <w:rFonts w:ascii="Arial" w:hAnsi="Arial"/>
      <w:b/>
      <w:bCs/>
      <w:smallCaps/>
      <w:sz w:val="28"/>
    </w:rPr>
  </w:style>
  <w:style w:type="character" w:customStyle="1" w:styleId="TitleChar">
    <w:name w:val="Title Char"/>
    <w:basedOn w:val="DefaultParagraphFont"/>
    <w:link w:val="Title"/>
    <w:rsid w:val="000940B9"/>
    <w:rPr>
      <w:rFonts w:ascii="Arial" w:eastAsia="Times New Roman" w:hAnsi="Arial" w:cs="Times New Roman"/>
      <w:b/>
      <w:bCs/>
      <w:smallCaps/>
      <w:sz w:val="28"/>
      <w:szCs w:val="20"/>
    </w:rPr>
  </w:style>
  <w:style w:type="paragraph" w:styleId="Subtitle">
    <w:name w:val="Subtitle"/>
    <w:basedOn w:val="Normal"/>
    <w:link w:val="SubtitleChar"/>
    <w:qFormat/>
    <w:rsid w:val="000940B9"/>
    <w:pPr>
      <w:suppressAutoHyphens w:val="0"/>
      <w:overflowPunct w:val="0"/>
      <w:autoSpaceDE w:val="0"/>
      <w:autoSpaceDN w:val="0"/>
      <w:adjustRightInd w:val="0"/>
      <w:jc w:val="center"/>
      <w:textAlignment w:val="baseline"/>
    </w:pPr>
    <w:rPr>
      <w:rFonts w:ascii="Arial" w:hAnsi="Arial"/>
      <w:smallCaps/>
      <w:sz w:val="28"/>
    </w:rPr>
  </w:style>
  <w:style w:type="character" w:customStyle="1" w:styleId="SubtitleChar">
    <w:name w:val="Subtitle Char"/>
    <w:basedOn w:val="DefaultParagraphFont"/>
    <w:link w:val="Subtitle"/>
    <w:rsid w:val="000940B9"/>
    <w:rPr>
      <w:rFonts w:ascii="Arial" w:eastAsia="Times New Roman" w:hAnsi="Arial" w:cs="Times New Roman"/>
      <w:smallCaps/>
      <w:sz w:val="28"/>
      <w:szCs w:val="20"/>
    </w:rPr>
  </w:style>
  <w:style w:type="paragraph" w:customStyle="1" w:styleId="Subhead">
    <w:name w:val="Subhead"/>
    <w:aliases w:val="Alt-S,Alt-S Char,Subhead Char"/>
    <w:next w:val="Normal"/>
    <w:rsid w:val="000940B9"/>
    <w:pPr>
      <w:keepNext/>
      <w:spacing w:after="240" w:line="240" w:lineRule="auto"/>
    </w:pPr>
    <w:rPr>
      <w:rFonts w:ascii="Arial" w:eastAsia="Times New Roman" w:hAnsi="Arial" w:cs="Arial"/>
      <w:b/>
      <w:bCs/>
      <w:noProof/>
    </w:rPr>
  </w:style>
  <w:style w:type="character" w:customStyle="1" w:styleId="SubheadChar1">
    <w:name w:val="Subhead Char1"/>
    <w:aliases w:val="Alt-S Char1,Alt-S Char Char,Subhead Char Char"/>
    <w:basedOn w:val="DefaultParagraphFont"/>
    <w:rsid w:val="000940B9"/>
    <w:rPr>
      <w:rFonts w:ascii="Arial" w:hAnsi="Arial" w:cs="Arial"/>
      <w:b/>
      <w:bCs/>
      <w:noProof/>
      <w:sz w:val="22"/>
      <w:szCs w:val="22"/>
      <w:lang w:val="en-US" w:eastAsia="en-US" w:bidi="ar-SA"/>
    </w:rPr>
  </w:style>
  <w:style w:type="paragraph" w:styleId="BodyTextIndent2">
    <w:name w:val="Body Text Indent 2"/>
    <w:basedOn w:val="Normal"/>
    <w:link w:val="BodyTextIndent2Char"/>
    <w:rsid w:val="000940B9"/>
    <w:pPr>
      <w:tabs>
        <w:tab w:val="left" w:pos="720"/>
        <w:tab w:val="left" w:pos="7200"/>
      </w:tabs>
      <w:suppressAutoHyphens w:val="0"/>
      <w:ind w:left="720"/>
      <w:jc w:val="both"/>
    </w:pPr>
    <w:rPr>
      <w:rFonts w:ascii="Arial" w:hAnsi="Arial" w:cs="Arial"/>
      <w:sz w:val="22"/>
      <w:szCs w:val="22"/>
    </w:rPr>
  </w:style>
  <w:style w:type="character" w:customStyle="1" w:styleId="BodyTextIndent2Char">
    <w:name w:val="Body Text Indent 2 Char"/>
    <w:basedOn w:val="DefaultParagraphFont"/>
    <w:link w:val="BodyTextIndent2"/>
    <w:rsid w:val="000940B9"/>
    <w:rPr>
      <w:rFonts w:ascii="Arial" w:eastAsia="Times New Roman" w:hAnsi="Arial" w:cs="Arial"/>
    </w:rPr>
  </w:style>
  <w:style w:type="paragraph" w:customStyle="1" w:styleId="FormTitle">
    <w:name w:val="FormTitle"/>
    <w:basedOn w:val="Normal"/>
    <w:rsid w:val="000940B9"/>
    <w:pPr>
      <w:jc w:val="center"/>
    </w:pPr>
    <w:rPr>
      <w:rFonts w:ascii="Arial" w:hAnsi="Arial"/>
      <w:b/>
      <w:smallCaps/>
      <w:sz w:val="28"/>
    </w:rPr>
  </w:style>
  <w:style w:type="paragraph" w:customStyle="1" w:styleId="BoxHeadline">
    <w:name w:val="Box Headline"/>
    <w:rsid w:val="000940B9"/>
    <w:pPr>
      <w:suppressAutoHyphens/>
      <w:spacing w:after="120" w:line="240" w:lineRule="auto"/>
      <w:jc w:val="center"/>
    </w:pPr>
    <w:rPr>
      <w:rFonts w:ascii="Arial" w:eastAsia="Times New Roman" w:hAnsi="Arial" w:cs="Times New Roman"/>
      <w:b/>
      <w:sz w:val="18"/>
      <w:szCs w:val="20"/>
    </w:rPr>
  </w:style>
  <w:style w:type="paragraph" w:styleId="FootnoteText">
    <w:name w:val="footnote text"/>
    <w:basedOn w:val="Normal"/>
    <w:link w:val="FootnoteTextChar"/>
    <w:semiHidden/>
    <w:rsid w:val="000940B9"/>
    <w:rPr>
      <w:sz w:val="18"/>
    </w:rPr>
  </w:style>
  <w:style w:type="character" w:customStyle="1" w:styleId="FootnoteTextChar">
    <w:name w:val="Footnote Text Char"/>
    <w:basedOn w:val="DefaultParagraphFont"/>
    <w:link w:val="FootnoteText"/>
    <w:semiHidden/>
    <w:rsid w:val="000940B9"/>
    <w:rPr>
      <w:rFonts w:ascii="Times New Roman" w:eastAsia="Times New Roman" w:hAnsi="Times New Roman" w:cs="Times New Roman"/>
      <w:sz w:val="18"/>
      <w:szCs w:val="20"/>
    </w:rPr>
  </w:style>
  <w:style w:type="character" w:customStyle="1" w:styleId="4Document">
    <w:name w:val="4Document"/>
    <w:rsid w:val="000940B9"/>
    <w:rPr>
      <w:rFonts w:ascii="Shruti" w:cs="Shruti"/>
      <w:sz w:val="24"/>
      <w:szCs w:val="24"/>
    </w:rPr>
  </w:style>
  <w:style w:type="paragraph" w:styleId="BodyTextIndent">
    <w:name w:val="Body Text Indent"/>
    <w:basedOn w:val="Normal"/>
    <w:link w:val="BodyTextIndentChar"/>
    <w:rsid w:val="000940B9"/>
    <w:pPr>
      <w:widowControl w:val="0"/>
      <w:suppressAutoHyphens w:val="0"/>
      <w:autoSpaceDE w:val="0"/>
      <w:autoSpaceDN w:val="0"/>
      <w:adjustRightInd w:val="0"/>
      <w:spacing w:after="120"/>
      <w:ind w:left="360"/>
    </w:pPr>
    <w:rPr>
      <w:sz w:val="20"/>
    </w:rPr>
  </w:style>
  <w:style w:type="character" w:customStyle="1" w:styleId="BodyTextIndentChar">
    <w:name w:val="Body Text Indent Char"/>
    <w:basedOn w:val="DefaultParagraphFont"/>
    <w:link w:val="BodyTextIndent"/>
    <w:rsid w:val="000940B9"/>
    <w:rPr>
      <w:rFonts w:ascii="Times New Roman" w:eastAsia="Times New Roman" w:hAnsi="Times New Roman" w:cs="Times New Roman"/>
      <w:sz w:val="20"/>
      <w:szCs w:val="20"/>
    </w:rPr>
  </w:style>
  <w:style w:type="paragraph" w:styleId="TOC1">
    <w:name w:val="toc 1"/>
    <w:basedOn w:val="Normal"/>
    <w:next w:val="Normal"/>
    <w:autoRedefine/>
    <w:uiPriority w:val="39"/>
    <w:rsid w:val="000940B9"/>
    <w:pPr>
      <w:tabs>
        <w:tab w:val="left" w:pos="2160"/>
        <w:tab w:val="right" w:leader="dot" w:pos="9019"/>
      </w:tabs>
      <w:suppressAutoHyphens w:val="0"/>
      <w:spacing w:before="360" w:after="360"/>
    </w:pPr>
    <w:rPr>
      <w:rFonts w:ascii="Arial" w:hAnsi="Arial"/>
      <w:b/>
      <w:sz w:val="22"/>
    </w:rPr>
  </w:style>
  <w:style w:type="paragraph" w:styleId="Index1">
    <w:name w:val="index 1"/>
    <w:basedOn w:val="Normal"/>
    <w:next w:val="Normal"/>
    <w:autoRedefine/>
    <w:semiHidden/>
    <w:rsid w:val="000940B9"/>
    <w:pPr>
      <w:suppressAutoHyphens w:val="0"/>
      <w:ind w:left="200" w:hanging="200"/>
    </w:pPr>
    <w:rPr>
      <w:rFonts w:ascii="Arial" w:hAnsi="Arial"/>
      <w:sz w:val="20"/>
    </w:rPr>
  </w:style>
  <w:style w:type="table" w:styleId="TableGrid">
    <w:name w:val="Table Grid"/>
    <w:basedOn w:val="TableNormal"/>
    <w:uiPriority w:val="59"/>
    <w:rsid w:val="000940B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level1">
    <w:name w:val="bullets level 1"/>
    <w:qFormat/>
    <w:rsid w:val="000940B9"/>
    <w:pPr>
      <w:numPr>
        <w:numId w:val="3"/>
      </w:numPr>
      <w:spacing w:after="0" w:line="240" w:lineRule="auto"/>
    </w:pPr>
    <w:rPr>
      <w:rFonts w:ascii="Arial" w:eastAsia="Times New Roman" w:hAnsi="Arial" w:cs="Arial"/>
      <w:bCs/>
    </w:rPr>
  </w:style>
  <w:style w:type="paragraph" w:customStyle="1" w:styleId="bulletslevel2">
    <w:name w:val="bullets level 2"/>
    <w:qFormat/>
    <w:rsid w:val="000940B9"/>
    <w:pPr>
      <w:numPr>
        <w:numId w:val="2"/>
      </w:numPr>
      <w:spacing w:after="0" w:line="240" w:lineRule="auto"/>
    </w:pPr>
    <w:rPr>
      <w:rFonts w:ascii="Arial" w:eastAsia="Times New Roman" w:hAnsi="Arial" w:cs="Arial"/>
    </w:rPr>
  </w:style>
  <w:style w:type="paragraph" w:customStyle="1" w:styleId="USAIDQtrlyReportBodyText-TimesRoman12pt">
    <w:name w:val="USAID Qtrly Report Body Text - Times Roman 12pt"/>
    <w:basedOn w:val="Normal"/>
    <w:rsid w:val="000940B9"/>
    <w:pPr>
      <w:suppressAutoHyphens w:val="0"/>
    </w:pPr>
    <w:rPr>
      <w:szCs w:val="24"/>
    </w:rPr>
  </w:style>
  <w:style w:type="paragraph" w:styleId="PlainText">
    <w:name w:val="Plain Text"/>
    <w:basedOn w:val="Normal"/>
    <w:link w:val="PlainTextChar"/>
    <w:uiPriority w:val="99"/>
    <w:rsid w:val="000940B9"/>
    <w:pPr>
      <w:suppressAutoHyphens w:val="0"/>
    </w:pPr>
    <w:rPr>
      <w:rFonts w:ascii="Courier New" w:hAnsi="Courier New" w:cs="Courier New"/>
      <w:sz w:val="20"/>
    </w:rPr>
  </w:style>
  <w:style w:type="character" w:customStyle="1" w:styleId="PlainTextChar">
    <w:name w:val="Plain Text Char"/>
    <w:basedOn w:val="DefaultParagraphFont"/>
    <w:link w:val="PlainText"/>
    <w:uiPriority w:val="99"/>
    <w:rsid w:val="000940B9"/>
    <w:rPr>
      <w:rFonts w:ascii="Courier New" w:eastAsia="Times New Roman" w:hAnsi="Courier New" w:cs="Courier New"/>
      <w:sz w:val="20"/>
      <w:szCs w:val="20"/>
    </w:rPr>
  </w:style>
  <w:style w:type="paragraph" w:customStyle="1" w:styleId="SectionHead0">
    <w:name w:val="Section Head"/>
    <w:basedOn w:val="Normal"/>
    <w:qFormat/>
    <w:rsid w:val="000940B9"/>
    <w:pPr>
      <w:suppressAutoHyphens w:val="0"/>
    </w:pPr>
    <w:rPr>
      <w:rFonts w:ascii="Arial" w:hAnsi="Arial" w:cs="Arial"/>
      <w:b/>
      <w:sz w:val="36"/>
      <w:szCs w:val="36"/>
    </w:rPr>
  </w:style>
  <w:style w:type="character" w:styleId="FootnoteReference">
    <w:name w:val="footnote reference"/>
    <w:basedOn w:val="DefaultParagraphFont"/>
    <w:semiHidden/>
    <w:unhideWhenUsed/>
    <w:rsid w:val="00C66924"/>
    <w:rPr>
      <w:vertAlign w:val="superscript"/>
    </w:rPr>
  </w:style>
  <w:style w:type="table" w:customStyle="1" w:styleId="TableGrid1">
    <w:name w:val="Table Grid1"/>
    <w:basedOn w:val="TableNormal"/>
    <w:rsid w:val="009C0B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 Char,Heading II Char,List Paragraph1 Char,List bullet Char,IRD Bullet List Char,Bullet List Char,FooterText Char,numbered Char,Paragraphe de liste1 Char,Bulletr List Paragraph Char,列出段落 Char,列出段落1 Char,List Paragraph2 Char"/>
    <w:basedOn w:val="DefaultParagraphFont"/>
    <w:link w:val="ListParagraph"/>
    <w:uiPriority w:val="1"/>
    <w:locked/>
    <w:rsid w:val="00BB249D"/>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CC76E4"/>
    <w:pPr>
      <w:widowControl w:val="0"/>
      <w:suppressAutoHyphens w:val="0"/>
    </w:pPr>
    <w:rPr>
      <w:rFonts w:asciiTheme="minorHAnsi" w:eastAsiaTheme="minorHAnsi" w:hAnsiTheme="minorHAnsi" w:cstheme="minorBidi"/>
      <w:sz w:val="22"/>
      <w:szCs w:val="22"/>
    </w:rPr>
  </w:style>
  <w:style w:type="table" w:customStyle="1" w:styleId="7">
    <w:name w:val="7"/>
    <w:basedOn w:val="TableNormal"/>
    <w:rsid w:val="00566A5E"/>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Pr>
  </w:style>
  <w:style w:type="character" w:customStyle="1" w:styleId="UnresolvedMention1">
    <w:name w:val="Unresolved Mention1"/>
    <w:basedOn w:val="DefaultParagraphFont"/>
    <w:uiPriority w:val="99"/>
    <w:semiHidden/>
    <w:unhideWhenUsed/>
    <w:rsid w:val="00BB0ED2"/>
    <w:rPr>
      <w:color w:val="605E5C"/>
      <w:shd w:val="clear" w:color="auto" w:fill="E1DFDD"/>
    </w:rPr>
  </w:style>
  <w:style w:type="character" w:styleId="Strong">
    <w:name w:val="Strong"/>
    <w:basedOn w:val="DefaultParagraphFont"/>
    <w:uiPriority w:val="22"/>
    <w:qFormat/>
    <w:rsid w:val="00CD0F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18719">
      <w:bodyDiv w:val="1"/>
      <w:marLeft w:val="0"/>
      <w:marRight w:val="0"/>
      <w:marTop w:val="0"/>
      <w:marBottom w:val="0"/>
      <w:divBdr>
        <w:top w:val="none" w:sz="0" w:space="0" w:color="auto"/>
        <w:left w:val="none" w:sz="0" w:space="0" w:color="auto"/>
        <w:bottom w:val="none" w:sz="0" w:space="0" w:color="auto"/>
        <w:right w:val="none" w:sz="0" w:space="0" w:color="auto"/>
      </w:divBdr>
    </w:div>
    <w:div w:id="146169573">
      <w:bodyDiv w:val="1"/>
      <w:marLeft w:val="0"/>
      <w:marRight w:val="0"/>
      <w:marTop w:val="0"/>
      <w:marBottom w:val="0"/>
      <w:divBdr>
        <w:top w:val="none" w:sz="0" w:space="0" w:color="auto"/>
        <w:left w:val="none" w:sz="0" w:space="0" w:color="auto"/>
        <w:bottom w:val="none" w:sz="0" w:space="0" w:color="auto"/>
        <w:right w:val="none" w:sz="0" w:space="0" w:color="auto"/>
      </w:divBdr>
    </w:div>
    <w:div w:id="165094606">
      <w:bodyDiv w:val="1"/>
      <w:marLeft w:val="0"/>
      <w:marRight w:val="0"/>
      <w:marTop w:val="0"/>
      <w:marBottom w:val="0"/>
      <w:divBdr>
        <w:top w:val="none" w:sz="0" w:space="0" w:color="auto"/>
        <w:left w:val="none" w:sz="0" w:space="0" w:color="auto"/>
        <w:bottom w:val="none" w:sz="0" w:space="0" w:color="auto"/>
        <w:right w:val="none" w:sz="0" w:space="0" w:color="auto"/>
      </w:divBdr>
    </w:div>
    <w:div w:id="185221463">
      <w:bodyDiv w:val="1"/>
      <w:marLeft w:val="0"/>
      <w:marRight w:val="0"/>
      <w:marTop w:val="0"/>
      <w:marBottom w:val="0"/>
      <w:divBdr>
        <w:top w:val="none" w:sz="0" w:space="0" w:color="auto"/>
        <w:left w:val="none" w:sz="0" w:space="0" w:color="auto"/>
        <w:bottom w:val="none" w:sz="0" w:space="0" w:color="auto"/>
        <w:right w:val="none" w:sz="0" w:space="0" w:color="auto"/>
      </w:divBdr>
    </w:div>
    <w:div w:id="223564834">
      <w:bodyDiv w:val="1"/>
      <w:marLeft w:val="0"/>
      <w:marRight w:val="0"/>
      <w:marTop w:val="0"/>
      <w:marBottom w:val="0"/>
      <w:divBdr>
        <w:top w:val="none" w:sz="0" w:space="0" w:color="auto"/>
        <w:left w:val="none" w:sz="0" w:space="0" w:color="auto"/>
        <w:bottom w:val="none" w:sz="0" w:space="0" w:color="auto"/>
        <w:right w:val="none" w:sz="0" w:space="0" w:color="auto"/>
      </w:divBdr>
    </w:div>
    <w:div w:id="234701877">
      <w:bodyDiv w:val="1"/>
      <w:marLeft w:val="0"/>
      <w:marRight w:val="0"/>
      <w:marTop w:val="0"/>
      <w:marBottom w:val="0"/>
      <w:divBdr>
        <w:top w:val="none" w:sz="0" w:space="0" w:color="auto"/>
        <w:left w:val="none" w:sz="0" w:space="0" w:color="auto"/>
        <w:bottom w:val="none" w:sz="0" w:space="0" w:color="auto"/>
        <w:right w:val="none" w:sz="0" w:space="0" w:color="auto"/>
      </w:divBdr>
    </w:div>
    <w:div w:id="250551483">
      <w:bodyDiv w:val="1"/>
      <w:marLeft w:val="0"/>
      <w:marRight w:val="0"/>
      <w:marTop w:val="0"/>
      <w:marBottom w:val="0"/>
      <w:divBdr>
        <w:top w:val="none" w:sz="0" w:space="0" w:color="auto"/>
        <w:left w:val="none" w:sz="0" w:space="0" w:color="auto"/>
        <w:bottom w:val="none" w:sz="0" w:space="0" w:color="auto"/>
        <w:right w:val="none" w:sz="0" w:space="0" w:color="auto"/>
      </w:divBdr>
    </w:div>
    <w:div w:id="313920436">
      <w:bodyDiv w:val="1"/>
      <w:marLeft w:val="0"/>
      <w:marRight w:val="0"/>
      <w:marTop w:val="0"/>
      <w:marBottom w:val="0"/>
      <w:divBdr>
        <w:top w:val="none" w:sz="0" w:space="0" w:color="auto"/>
        <w:left w:val="none" w:sz="0" w:space="0" w:color="auto"/>
        <w:bottom w:val="none" w:sz="0" w:space="0" w:color="auto"/>
        <w:right w:val="none" w:sz="0" w:space="0" w:color="auto"/>
      </w:divBdr>
    </w:div>
    <w:div w:id="326519994">
      <w:bodyDiv w:val="1"/>
      <w:marLeft w:val="0"/>
      <w:marRight w:val="0"/>
      <w:marTop w:val="0"/>
      <w:marBottom w:val="0"/>
      <w:divBdr>
        <w:top w:val="none" w:sz="0" w:space="0" w:color="auto"/>
        <w:left w:val="none" w:sz="0" w:space="0" w:color="auto"/>
        <w:bottom w:val="none" w:sz="0" w:space="0" w:color="auto"/>
        <w:right w:val="none" w:sz="0" w:space="0" w:color="auto"/>
      </w:divBdr>
    </w:div>
    <w:div w:id="349141006">
      <w:bodyDiv w:val="1"/>
      <w:marLeft w:val="0"/>
      <w:marRight w:val="0"/>
      <w:marTop w:val="0"/>
      <w:marBottom w:val="0"/>
      <w:divBdr>
        <w:top w:val="none" w:sz="0" w:space="0" w:color="auto"/>
        <w:left w:val="none" w:sz="0" w:space="0" w:color="auto"/>
        <w:bottom w:val="none" w:sz="0" w:space="0" w:color="auto"/>
        <w:right w:val="none" w:sz="0" w:space="0" w:color="auto"/>
      </w:divBdr>
    </w:div>
    <w:div w:id="459345630">
      <w:bodyDiv w:val="1"/>
      <w:marLeft w:val="0"/>
      <w:marRight w:val="0"/>
      <w:marTop w:val="0"/>
      <w:marBottom w:val="0"/>
      <w:divBdr>
        <w:top w:val="none" w:sz="0" w:space="0" w:color="auto"/>
        <w:left w:val="none" w:sz="0" w:space="0" w:color="auto"/>
        <w:bottom w:val="none" w:sz="0" w:space="0" w:color="auto"/>
        <w:right w:val="none" w:sz="0" w:space="0" w:color="auto"/>
      </w:divBdr>
    </w:div>
    <w:div w:id="475027084">
      <w:bodyDiv w:val="1"/>
      <w:marLeft w:val="0"/>
      <w:marRight w:val="0"/>
      <w:marTop w:val="0"/>
      <w:marBottom w:val="0"/>
      <w:divBdr>
        <w:top w:val="none" w:sz="0" w:space="0" w:color="auto"/>
        <w:left w:val="none" w:sz="0" w:space="0" w:color="auto"/>
        <w:bottom w:val="none" w:sz="0" w:space="0" w:color="auto"/>
        <w:right w:val="none" w:sz="0" w:space="0" w:color="auto"/>
      </w:divBdr>
    </w:div>
    <w:div w:id="536086475">
      <w:bodyDiv w:val="1"/>
      <w:marLeft w:val="0"/>
      <w:marRight w:val="0"/>
      <w:marTop w:val="0"/>
      <w:marBottom w:val="0"/>
      <w:divBdr>
        <w:top w:val="none" w:sz="0" w:space="0" w:color="auto"/>
        <w:left w:val="none" w:sz="0" w:space="0" w:color="auto"/>
        <w:bottom w:val="none" w:sz="0" w:space="0" w:color="auto"/>
        <w:right w:val="none" w:sz="0" w:space="0" w:color="auto"/>
      </w:divBdr>
    </w:div>
    <w:div w:id="570236381">
      <w:bodyDiv w:val="1"/>
      <w:marLeft w:val="0"/>
      <w:marRight w:val="0"/>
      <w:marTop w:val="0"/>
      <w:marBottom w:val="0"/>
      <w:divBdr>
        <w:top w:val="none" w:sz="0" w:space="0" w:color="auto"/>
        <w:left w:val="none" w:sz="0" w:space="0" w:color="auto"/>
        <w:bottom w:val="none" w:sz="0" w:space="0" w:color="auto"/>
        <w:right w:val="none" w:sz="0" w:space="0" w:color="auto"/>
      </w:divBdr>
    </w:div>
    <w:div w:id="631133449">
      <w:bodyDiv w:val="1"/>
      <w:marLeft w:val="0"/>
      <w:marRight w:val="0"/>
      <w:marTop w:val="0"/>
      <w:marBottom w:val="0"/>
      <w:divBdr>
        <w:top w:val="none" w:sz="0" w:space="0" w:color="auto"/>
        <w:left w:val="none" w:sz="0" w:space="0" w:color="auto"/>
        <w:bottom w:val="none" w:sz="0" w:space="0" w:color="auto"/>
        <w:right w:val="none" w:sz="0" w:space="0" w:color="auto"/>
      </w:divBdr>
    </w:div>
    <w:div w:id="676886614">
      <w:bodyDiv w:val="1"/>
      <w:marLeft w:val="0"/>
      <w:marRight w:val="0"/>
      <w:marTop w:val="0"/>
      <w:marBottom w:val="0"/>
      <w:divBdr>
        <w:top w:val="none" w:sz="0" w:space="0" w:color="auto"/>
        <w:left w:val="none" w:sz="0" w:space="0" w:color="auto"/>
        <w:bottom w:val="none" w:sz="0" w:space="0" w:color="auto"/>
        <w:right w:val="none" w:sz="0" w:space="0" w:color="auto"/>
      </w:divBdr>
    </w:div>
    <w:div w:id="716201305">
      <w:bodyDiv w:val="1"/>
      <w:marLeft w:val="0"/>
      <w:marRight w:val="0"/>
      <w:marTop w:val="0"/>
      <w:marBottom w:val="0"/>
      <w:divBdr>
        <w:top w:val="none" w:sz="0" w:space="0" w:color="auto"/>
        <w:left w:val="none" w:sz="0" w:space="0" w:color="auto"/>
        <w:bottom w:val="none" w:sz="0" w:space="0" w:color="auto"/>
        <w:right w:val="none" w:sz="0" w:space="0" w:color="auto"/>
      </w:divBdr>
    </w:div>
    <w:div w:id="764955145">
      <w:bodyDiv w:val="1"/>
      <w:marLeft w:val="0"/>
      <w:marRight w:val="0"/>
      <w:marTop w:val="0"/>
      <w:marBottom w:val="0"/>
      <w:divBdr>
        <w:top w:val="none" w:sz="0" w:space="0" w:color="auto"/>
        <w:left w:val="none" w:sz="0" w:space="0" w:color="auto"/>
        <w:bottom w:val="none" w:sz="0" w:space="0" w:color="auto"/>
        <w:right w:val="none" w:sz="0" w:space="0" w:color="auto"/>
      </w:divBdr>
    </w:div>
    <w:div w:id="777717817">
      <w:bodyDiv w:val="1"/>
      <w:marLeft w:val="0"/>
      <w:marRight w:val="0"/>
      <w:marTop w:val="0"/>
      <w:marBottom w:val="0"/>
      <w:divBdr>
        <w:top w:val="none" w:sz="0" w:space="0" w:color="auto"/>
        <w:left w:val="none" w:sz="0" w:space="0" w:color="auto"/>
        <w:bottom w:val="none" w:sz="0" w:space="0" w:color="auto"/>
        <w:right w:val="none" w:sz="0" w:space="0" w:color="auto"/>
      </w:divBdr>
    </w:div>
    <w:div w:id="880630590">
      <w:bodyDiv w:val="1"/>
      <w:marLeft w:val="0"/>
      <w:marRight w:val="0"/>
      <w:marTop w:val="0"/>
      <w:marBottom w:val="0"/>
      <w:divBdr>
        <w:top w:val="none" w:sz="0" w:space="0" w:color="auto"/>
        <w:left w:val="none" w:sz="0" w:space="0" w:color="auto"/>
        <w:bottom w:val="none" w:sz="0" w:space="0" w:color="auto"/>
        <w:right w:val="none" w:sz="0" w:space="0" w:color="auto"/>
      </w:divBdr>
    </w:div>
    <w:div w:id="917598161">
      <w:bodyDiv w:val="1"/>
      <w:marLeft w:val="0"/>
      <w:marRight w:val="0"/>
      <w:marTop w:val="0"/>
      <w:marBottom w:val="0"/>
      <w:divBdr>
        <w:top w:val="none" w:sz="0" w:space="0" w:color="auto"/>
        <w:left w:val="none" w:sz="0" w:space="0" w:color="auto"/>
        <w:bottom w:val="none" w:sz="0" w:space="0" w:color="auto"/>
        <w:right w:val="none" w:sz="0" w:space="0" w:color="auto"/>
      </w:divBdr>
      <w:divsChild>
        <w:div w:id="1458837838">
          <w:marLeft w:val="0"/>
          <w:marRight w:val="0"/>
          <w:marTop w:val="0"/>
          <w:marBottom w:val="0"/>
          <w:divBdr>
            <w:top w:val="none" w:sz="0" w:space="0" w:color="auto"/>
            <w:left w:val="none" w:sz="0" w:space="0" w:color="auto"/>
            <w:bottom w:val="none" w:sz="0" w:space="0" w:color="auto"/>
            <w:right w:val="none" w:sz="0" w:space="0" w:color="auto"/>
          </w:divBdr>
          <w:divsChild>
            <w:div w:id="751395349">
              <w:marLeft w:val="0"/>
              <w:marRight w:val="0"/>
              <w:marTop w:val="0"/>
              <w:marBottom w:val="0"/>
              <w:divBdr>
                <w:top w:val="none" w:sz="0" w:space="0" w:color="auto"/>
                <w:left w:val="none" w:sz="0" w:space="0" w:color="auto"/>
                <w:bottom w:val="none" w:sz="0" w:space="0" w:color="auto"/>
                <w:right w:val="none" w:sz="0" w:space="0" w:color="auto"/>
              </w:divBdr>
              <w:divsChild>
                <w:div w:id="761754907">
                  <w:marLeft w:val="0"/>
                  <w:marRight w:val="0"/>
                  <w:marTop w:val="0"/>
                  <w:marBottom w:val="0"/>
                  <w:divBdr>
                    <w:top w:val="none" w:sz="0" w:space="0" w:color="auto"/>
                    <w:left w:val="none" w:sz="0" w:space="0" w:color="auto"/>
                    <w:bottom w:val="none" w:sz="0" w:space="0" w:color="auto"/>
                    <w:right w:val="none" w:sz="0" w:space="0" w:color="auto"/>
                  </w:divBdr>
                  <w:divsChild>
                    <w:div w:id="1182813988">
                      <w:marLeft w:val="0"/>
                      <w:marRight w:val="0"/>
                      <w:marTop w:val="0"/>
                      <w:marBottom w:val="0"/>
                      <w:divBdr>
                        <w:top w:val="none" w:sz="0" w:space="0" w:color="auto"/>
                        <w:left w:val="none" w:sz="0" w:space="0" w:color="auto"/>
                        <w:bottom w:val="none" w:sz="0" w:space="0" w:color="auto"/>
                        <w:right w:val="none" w:sz="0" w:space="0" w:color="auto"/>
                      </w:divBdr>
                      <w:divsChild>
                        <w:div w:id="453446505">
                          <w:marLeft w:val="0"/>
                          <w:marRight w:val="0"/>
                          <w:marTop w:val="0"/>
                          <w:marBottom w:val="0"/>
                          <w:divBdr>
                            <w:top w:val="none" w:sz="0" w:space="0" w:color="auto"/>
                            <w:left w:val="none" w:sz="0" w:space="0" w:color="auto"/>
                            <w:bottom w:val="none" w:sz="0" w:space="0" w:color="auto"/>
                            <w:right w:val="none" w:sz="0" w:space="0" w:color="auto"/>
                          </w:divBdr>
                          <w:divsChild>
                            <w:div w:id="342828362">
                              <w:marLeft w:val="0"/>
                              <w:marRight w:val="300"/>
                              <w:marTop w:val="180"/>
                              <w:marBottom w:val="0"/>
                              <w:divBdr>
                                <w:top w:val="none" w:sz="0" w:space="0" w:color="auto"/>
                                <w:left w:val="none" w:sz="0" w:space="0" w:color="auto"/>
                                <w:bottom w:val="none" w:sz="0" w:space="0" w:color="auto"/>
                                <w:right w:val="none" w:sz="0" w:space="0" w:color="auto"/>
                              </w:divBdr>
                              <w:divsChild>
                                <w:div w:id="1218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64690">
          <w:marLeft w:val="0"/>
          <w:marRight w:val="0"/>
          <w:marTop w:val="0"/>
          <w:marBottom w:val="0"/>
          <w:divBdr>
            <w:top w:val="none" w:sz="0" w:space="0" w:color="auto"/>
            <w:left w:val="none" w:sz="0" w:space="0" w:color="auto"/>
            <w:bottom w:val="none" w:sz="0" w:space="0" w:color="auto"/>
            <w:right w:val="none" w:sz="0" w:space="0" w:color="auto"/>
          </w:divBdr>
          <w:divsChild>
            <w:div w:id="2020427786">
              <w:marLeft w:val="0"/>
              <w:marRight w:val="0"/>
              <w:marTop w:val="0"/>
              <w:marBottom w:val="0"/>
              <w:divBdr>
                <w:top w:val="none" w:sz="0" w:space="0" w:color="auto"/>
                <w:left w:val="none" w:sz="0" w:space="0" w:color="auto"/>
                <w:bottom w:val="none" w:sz="0" w:space="0" w:color="auto"/>
                <w:right w:val="none" w:sz="0" w:space="0" w:color="auto"/>
              </w:divBdr>
              <w:divsChild>
                <w:div w:id="1546598861">
                  <w:marLeft w:val="0"/>
                  <w:marRight w:val="0"/>
                  <w:marTop w:val="0"/>
                  <w:marBottom w:val="0"/>
                  <w:divBdr>
                    <w:top w:val="none" w:sz="0" w:space="0" w:color="auto"/>
                    <w:left w:val="none" w:sz="0" w:space="0" w:color="auto"/>
                    <w:bottom w:val="none" w:sz="0" w:space="0" w:color="auto"/>
                    <w:right w:val="none" w:sz="0" w:space="0" w:color="auto"/>
                  </w:divBdr>
                  <w:divsChild>
                    <w:div w:id="1679842129">
                      <w:marLeft w:val="0"/>
                      <w:marRight w:val="0"/>
                      <w:marTop w:val="0"/>
                      <w:marBottom w:val="0"/>
                      <w:divBdr>
                        <w:top w:val="none" w:sz="0" w:space="0" w:color="auto"/>
                        <w:left w:val="none" w:sz="0" w:space="0" w:color="auto"/>
                        <w:bottom w:val="none" w:sz="0" w:space="0" w:color="auto"/>
                        <w:right w:val="none" w:sz="0" w:space="0" w:color="auto"/>
                      </w:divBdr>
                      <w:divsChild>
                        <w:div w:id="158179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199857">
      <w:bodyDiv w:val="1"/>
      <w:marLeft w:val="0"/>
      <w:marRight w:val="0"/>
      <w:marTop w:val="0"/>
      <w:marBottom w:val="0"/>
      <w:divBdr>
        <w:top w:val="none" w:sz="0" w:space="0" w:color="auto"/>
        <w:left w:val="none" w:sz="0" w:space="0" w:color="auto"/>
        <w:bottom w:val="none" w:sz="0" w:space="0" w:color="auto"/>
        <w:right w:val="none" w:sz="0" w:space="0" w:color="auto"/>
      </w:divBdr>
    </w:div>
    <w:div w:id="934895853">
      <w:bodyDiv w:val="1"/>
      <w:marLeft w:val="0"/>
      <w:marRight w:val="0"/>
      <w:marTop w:val="0"/>
      <w:marBottom w:val="0"/>
      <w:divBdr>
        <w:top w:val="none" w:sz="0" w:space="0" w:color="auto"/>
        <w:left w:val="none" w:sz="0" w:space="0" w:color="auto"/>
        <w:bottom w:val="none" w:sz="0" w:space="0" w:color="auto"/>
        <w:right w:val="none" w:sz="0" w:space="0" w:color="auto"/>
      </w:divBdr>
    </w:div>
    <w:div w:id="948852434">
      <w:bodyDiv w:val="1"/>
      <w:marLeft w:val="0"/>
      <w:marRight w:val="0"/>
      <w:marTop w:val="0"/>
      <w:marBottom w:val="0"/>
      <w:divBdr>
        <w:top w:val="none" w:sz="0" w:space="0" w:color="auto"/>
        <w:left w:val="none" w:sz="0" w:space="0" w:color="auto"/>
        <w:bottom w:val="none" w:sz="0" w:space="0" w:color="auto"/>
        <w:right w:val="none" w:sz="0" w:space="0" w:color="auto"/>
      </w:divBdr>
    </w:div>
    <w:div w:id="975179414">
      <w:bodyDiv w:val="1"/>
      <w:marLeft w:val="0"/>
      <w:marRight w:val="0"/>
      <w:marTop w:val="0"/>
      <w:marBottom w:val="0"/>
      <w:divBdr>
        <w:top w:val="none" w:sz="0" w:space="0" w:color="auto"/>
        <w:left w:val="none" w:sz="0" w:space="0" w:color="auto"/>
        <w:bottom w:val="none" w:sz="0" w:space="0" w:color="auto"/>
        <w:right w:val="none" w:sz="0" w:space="0" w:color="auto"/>
      </w:divBdr>
    </w:div>
    <w:div w:id="989940355">
      <w:bodyDiv w:val="1"/>
      <w:marLeft w:val="0"/>
      <w:marRight w:val="0"/>
      <w:marTop w:val="0"/>
      <w:marBottom w:val="0"/>
      <w:divBdr>
        <w:top w:val="none" w:sz="0" w:space="0" w:color="auto"/>
        <w:left w:val="none" w:sz="0" w:space="0" w:color="auto"/>
        <w:bottom w:val="none" w:sz="0" w:space="0" w:color="auto"/>
        <w:right w:val="none" w:sz="0" w:space="0" w:color="auto"/>
      </w:divBdr>
    </w:div>
    <w:div w:id="1208294302">
      <w:bodyDiv w:val="1"/>
      <w:marLeft w:val="0"/>
      <w:marRight w:val="0"/>
      <w:marTop w:val="0"/>
      <w:marBottom w:val="0"/>
      <w:divBdr>
        <w:top w:val="none" w:sz="0" w:space="0" w:color="auto"/>
        <w:left w:val="none" w:sz="0" w:space="0" w:color="auto"/>
        <w:bottom w:val="none" w:sz="0" w:space="0" w:color="auto"/>
        <w:right w:val="none" w:sz="0" w:space="0" w:color="auto"/>
      </w:divBdr>
    </w:div>
    <w:div w:id="1227454098">
      <w:bodyDiv w:val="1"/>
      <w:marLeft w:val="0"/>
      <w:marRight w:val="0"/>
      <w:marTop w:val="0"/>
      <w:marBottom w:val="0"/>
      <w:divBdr>
        <w:top w:val="none" w:sz="0" w:space="0" w:color="auto"/>
        <w:left w:val="none" w:sz="0" w:space="0" w:color="auto"/>
        <w:bottom w:val="none" w:sz="0" w:space="0" w:color="auto"/>
        <w:right w:val="none" w:sz="0" w:space="0" w:color="auto"/>
      </w:divBdr>
    </w:div>
    <w:div w:id="1266381657">
      <w:bodyDiv w:val="1"/>
      <w:marLeft w:val="0"/>
      <w:marRight w:val="0"/>
      <w:marTop w:val="0"/>
      <w:marBottom w:val="0"/>
      <w:divBdr>
        <w:top w:val="none" w:sz="0" w:space="0" w:color="auto"/>
        <w:left w:val="none" w:sz="0" w:space="0" w:color="auto"/>
        <w:bottom w:val="none" w:sz="0" w:space="0" w:color="auto"/>
        <w:right w:val="none" w:sz="0" w:space="0" w:color="auto"/>
      </w:divBdr>
    </w:div>
    <w:div w:id="1271470898">
      <w:bodyDiv w:val="1"/>
      <w:marLeft w:val="0"/>
      <w:marRight w:val="0"/>
      <w:marTop w:val="0"/>
      <w:marBottom w:val="0"/>
      <w:divBdr>
        <w:top w:val="none" w:sz="0" w:space="0" w:color="auto"/>
        <w:left w:val="none" w:sz="0" w:space="0" w:color="auto"/>
        <w:bottom w:val="none" w:sz="0" w:space="0" w:color="auto"/>
        <w:right w:val="none" w:sz="0" w:space="0" w:color="auto"/>
      </w:divBdr>
    </w:div>
    <w:div w:id="1332683978">
      <w:bodyDiv w:val="1"/>
      <w:marLeft w:val="0"/>
      <w:marRight w:val="0"/>
      <w:marTop w:val="0"/>
      <w:marBottom w:val="0"/>
      <w:divBdr>
        <w:top w:val="none" w:sz="0" w:space="0" w:color="auto"/>
        <w:left w:val="none" w:sz="0" w:space="0" w:color="auto"/>
        <w:bottom w:val="none" w:sz="0" w:space="0" w:color="auto"/>
        <w:right w:val="none" w:sz="0" w:space="0" w:color="auto"/>
      </w:divBdr>
    </w:div>
    <w:div w:id="1405637695">
      <w:bodyDiv w:val="1"/>
      <w:marLeft w:val="0"/>
      <w:marRight w:val="0"/>
      <w:marTop w:val="0"/>
      <w:marBottom w:val="0"/>
      <w:divBdr>
        <w:top w:val="none" w:sz="0" w:space="0" w:color="auto"/>
        <w:left w:val="none" w:sz="0" w:space="0" w:color="auto"/>
        <w:bottom w:val="none" w:sz="0" w:space="0" w:color="auto"/>
        <w:right w:val="none" w:sz="0" w:space="0" w:color="auto"/>
      </w:divBdr>
    </w:div>
    <w:div w:id="1464734294">
      <w:bodyDiv w:val="1"/>
      <w:marLeft w:val="0"/>
      <w:marRight w:val="0"/>
      <w:marTop w:val="0"/>
      <w:marBottom w:val="0"/>
      <w:divBdr>
        <w:top w:val="none" w:sz="0" w:space="0" w:color="auto"/>
        <w:left w:val="none" w:sz="0" w:space="0" w:color="auto"/>
        <w:bottom w:val="none" w:sz="0" w:space="0" w:color="auto"/>
        <w:right w:val="none" w:sz="0" w:space="0" w:color="auto"/>
      </w:divBdr>
    </w:div>
    <w:div w:id="1503272805">
      <w:bodyDiv w:val="1"/>
      <w:marLeft w:val="0"/>
      <w:marRight w:val="0"/>
      <w:marTop w:val="0"/>
      <w:marBottom w:val="0"/>
      <w:divBdr>
        <w:top w:val="none" w:sz="0" w:space="0" w:color="auto"/>
        <w:left w:val="none" w:sz="0" w:space="0" w:color="auto"/>
        <w:bottom w:val="none" w:sz="0" w:space="0" w:color="auto"/>
        <w:right w:val="none" w:sz="0" w:space="0" w:color="auto"/>
      </w:divBdr>
    </w:div>
    <w:div w:id="1572155216">
      <w:bodyDiv w:val="1"/>
      <w:marLeft w:val="0"/>
      <w:marRight w:val="0"/>
      <w:marTop w:val="0"/>
      <w:marBottom w:val="0"/>
      <w:divBdr>
        <w:top w:val="none" w:sz="0" w:space="0" w:color="auto"/>
        <w:left w:val="none" w:sz="0" w:space="0" w:color="auto"/>
        <w:bottom w:val="none" w:sz="0" w:space="0" w:color="auto"/>
        <w:right w:val="none" w:sz="0" w:space="0" w:color="auto"/>
      </w:divBdr>
    </w:div>
    <w:div w:id="1593080877">
      <w:bodyDiv w:val="1"/>
      <w:marLeft w:val="0"/>
      <w:marRight w:val="0"/>
      <w:marTop w:val="0"/>
      <w:marBottom w:val="0"/>
      <w:divBdr>
        <w:top w:val="none" w:sz="0" w:space="0" w:color="auto"/>
        <w:left w:val="none" w:sz="0" w:space="0" w:color="auto"/>
        <w:bottom w:val="none" w:sz="0" w:space="0" w:color="auto"/>
        <w:right w:val="none" w:sz="0" w:space="0" w:color="auto"/>
      </w:divBdr>
    </w:div>
    <w:div w:id="1698654726">
      <w:bodyDiv w:val="1"/>
      <w:marLeft w:val="0"/>
      <w:marRight w:val="0"/>
      <w:marTop w:val="0"/>
      <w:marBottom w:val="0"/>
      <w:divBdr>
        <w:top w:val="none" w:sz="0" w:space="0" w:color="auto"/>
        <w:left w:val="none" w:sz="0" w:space="0" w:color="auto"/>
        <w:bottom w:val="none" w:sz="0" w:space="0" w:color="auto"/>
        <w:right w:val="none" w:sz="0" w:space="0" w:color="auto"/>
      </w:divBdr>
    </w:div>
    <w:div w:id="1776367959">
      <w:bodyDiv w:val="1"/>
      <w:marLeft w:val="0"/>
      <w:marRight w:val="0"/>
      <w:marTop w:val="0"/>
      <w:marBottom w:val="0"/>
      <w:divBdr>
        <w:top w:val="none" w:sz="0" w:space="0" w:color="auto"/>
        <w:left w:val="none" w:sz="0" w:space="0" w:color="auto"/>
        <w:bottom w:val="none" w:sz="0" w:space="0" w:color="auto"/>
        <w:right w:val="none" w:sz="0" w:space="0" w:color="auto"/>
      </w:divBdr>
    </w:div>
    <w:div w:id="1785036552">
      <w:bodyDiv w:val="1"/>
      <w:marLeft w:val="0"/>
      <w:marRight w:val="0"/>
      <w:marTop w:val="0"/>
      <w:marBottom w:val="0"/>
      <w:divBdr>
        <w:top w:val="none" w:sz="0" w:space="0" w:color="auto"/>
        <w:left w:val="none" w:sz="0" w:space="0" w:color="auto"/>
        <w:bottom w:val="none" w:sz="0" w:space="0" w:color="auto"/>
        <w:right w:val="none" w:sz="0" w:space="0" w:color="auto"/>
      </w:divBdr>
    </w:div>
    <w:div w:id="1955356241">
      <w:bodyDiv w:val="1"/>
      <w:marLeft w:val="0"/>
      <w:marRight w:val="0"/>
      <w:marTop w:val="0"/>
      <w:marBottom w:val="0"/>
      <w:divBdr>
        <w:top w:val="none" w:sz="0" w:space="0" w:color="auto"/>
        <w:left w:val="none" w:sz="0" w:space="0" w:color="auto"/>
        <w:bottom w:val="none" w:sz="0" w:space="0" w:color="auto"/>
        <w:right w:val="none" w:sz="0" w:space="0" w:color="auto"/>
      </w:divBdr>
    </w:div>
    <w:div w:id="1961107012">
      <w:bodyDiv w:val="1"/>
      <w:marLeft w:val="0"/>
      <w:marRight w:val="0"/>
      <w:marTop w:val="0"/>
      <w:marBottom w:val="0"/>
      <w:divBdr>
        <w:top w:val="none" w:sz="0" w:space="0" w:color="auto"/>
        <w:left w:val="none" w:sz="0" w:space="0" w:color="auto"/>
        <w:bottom w:val="none" w:sz="0" w:space="0" w:color="auto"/>
        <w:right w:val="none" w:sz="0" w:space="0" w:color="auto"/>
      </w:divBdr>
    </w:div>
    <w:div w:id="2011366019">
      <w:bodyDiv w:val="1"/>
      <w:marLeft w:val="0"/>
      <w:marRight w:val="0"/>
      <w:marTop w:val="0"/>
      <w:marBottom w:val="0"/>
      <w:divBdr>
        <w:top w:val="none" w:sz="0" w:space="0" w:color="auto"/>
        <w:left w:val="none" w:sz="0" w:space="0" w:color="auto"/>
        <w:bottom w:val="none" w:sz="0" w:space="0" w:color="auto"/>
        <w:right w:val="none" w:sz="0" w:space="0" w:color="auto"/>
      </w:divBdr>
    </w:div>
    <w:div w:id="2018652180">
      <w:bodyDiv w:val="1"/>
      <w:marLeft w:val="0"/>
      <w:marRight w:val="0"/>
      <w:marTop w:val="0"/>
      <w:marBottom w:val="0"/>
      <w:divBdr>
        <w:top w:val="none" w:sz="0" w:space="0" w:color="auto"/>
        <w:left w:val="none" w:sz="0" w:space="0" w:color="auto"/>
        <w:bottom w:val="none" w:sz="0" w:space="0" w:color="auto"/>
        <w:right w:val="none" w:sz="0" w:space="0" w:color="auto"/>
      </w:divBdr>
    </w:div>
    <w:div w:id="2037653087">
      <w:bodyDiv w:val="1"/>
      <w:marLeft w:val="0"/>
      <w:marRight w:val="0"/>
      <w:marTop w:val="0"/>
      <w:marBottom w:val="0"/>
      <w:divBdr>
        <w:top w:val="none" w:sz="0" w:space="0" w:color="auto"/>
        <w:left w:val="none" w:sz="0" w:space="0" w:color="auto"/>
        <w:bottom w:val="none" w:sz="0" w:space="0" w:color="auto"/>
        <w:right w:val="none" w:sz="0" w:space="0" w:color="auto"/>
      </w:divBdr>
    </w:div>
    <w:div w:id="212896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fricancashewalliance.com/sites/all/modules/civicrm/extern/url.php?u=6642&amp;qid=104700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14C6BC50F70224EA81344BDD56B57CF" ma:contentTypeVersion="4" ma:contentTypeDescription="Create a new document." ma:contentTypeScope="" ma:versionID="f7dd40876457a48496323ccddb381b2a">
  <xsd:schema xmlns:xsd="http://www.w3.org/2001/XMLSchema" xmlns:xs="http://www.w3.org/2001/XMLSchema" xmlns:p="http://schemas.microsoft.com/office/2006/metadata/properties" xmlns:ns2="9cd005e8-f946-4604-ac6b-4d1af8f7ec8e" xmlns:ns3="cce84552-d6c5-4020-9a62-763bb450c1d0" targetNamespace="http://schemas.microsoft.com/office/2006/metadata/properties" ma:root="true" ma:fieldsID="2d7d47213ba2a8e31ebf097762bece39" ns2:_="" ns3:_="">
    <xsd:import namespace="9cd005e8-f946-4604-ac6b-4d1af8f7ec8e"/>
    <xsd:import namespace="cce84552-d6c5-4020-9a62-763bb450c1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005e8-f946-4604-ac6b-4d1af8f7e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e84552-d6c5-4020-9a62-763bb450c1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15CAD4-3376-4141-83B4-00F002C6179B}">
  <ds:schemaRefs>
    <ds:schemaRef ds:uri="http://schemas.microsoft.com/office/2006/metadata/properties"/>
  </ds:schemaRefs>
</ds:datastoreItem>
</file>

<file path=customXml/itemProps2.xml><?xml version="1.0" encoding="utf-8"?>
<ds:datastoreItem xmlns:ds="http://schemas.openxmlformats.org/officeDocument/2006/customXml" ds:itemID="{015A12E0-9748-46FD-978D-DB8022EE6F5B}">
  <ds:schemaRefs>
    <ds:schemaRef ds:uri="http://schemas.microsoft.com/sharepoint/v3/contenttype/forms"/>
  </ds:schemaRefs>
</ds:datastoreItem>
</file>

<file path=customXml/itemProps3.xml><?xml version="1.0" encoding="utf-8"?>
<ds:datastoreItem xmlns:ds="http://schemas.openxmlformats.org/officeDocument/2006/customXml" ds:itemID="{F35D32FB-3613-4D29-A48E-AD931355D716}">
  <ds:schemaRefs>
    <ds:schemaRef ds:uri="http://schemas.openxmlformats.org/officeDocument/2006/bibliography"/>
  </ds:schemaRefs>
</ds:datastoreItem>
</file>

<file path=customXml/itemProps4.xml><?xml version="1.0" encoding="utf-8"?>
<ds:datastoreItem xmlns:ds="http://schemas.openxmlformats.org/officeDocument/2006/customXml" ds:itemID="{5B1B900C-58E0-4354-B313-6806FB843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005e8-f946-4604-ac6b-4d1af8f7ec8e"/>
    <ds:schemaRef ds:uri="cce84552-d6c5-4020-9a62-763bb450c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5965</Words>
  <Characters>34002</Characters>
  <Application>Microsoft Office Word</Application>
  <DocSecurity>0</DocSecurity>
  <Lines>283</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CNFA</Company>
  <LinksUpToDate>false</LinksUpToDate>
  <CharactersWithSpaces>39888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Mock</dc:creator>
  <cp:lastModifiedBy>Jean Francois Guay</cp:lastModifiedBy>
  <cp:revision>6</cp:revision>
  <cp:lastPrinted>2020-07-15T08:30:00Z</cp:lastPrinted>
  <dcterms:created xsi:type="dcterms:W3CDTF">2020-07-15T08:11:00Z</dcterms:created>
  <dcterms:modified xsi:type="dcterms:W3CDTF">2020-07-15T08:48:00Z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0x010100714C6BC50F70224EA81344BDD56B57CF</vt:lpwstr>
  </property>
</Properties>
</file>